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F6043" w14:textId="4FB154AE" w:rsidR="002939BD" w:rsidRDefault="002939BD">
      <w:pPr>
        <w:rPr>
          <w:rFonts w:ascii="Arial" w:eastAsiaTheme="majorEastAsia" w:hAnsi="Arial" w:cs="Arial"/>
          <w:b/>
          <w:bCs/>
          <w:sz w:val="24"/>
          <w:szCs w:val="24"/>
        </w:rPr>
      </w:pPr>
      <w:r w:rsidRPr="00B1062C">
        <w:rPr>
          <w:rFonts w:ascii="Arial" w:eastAsiaTheme="majorEastAsia" w:hAnsi="Arial" w:cs="Arial"/>
          <w:b/>
          <w:bCs/>
          <w:sz w:val="24"/>
          <w:szCs w:val="24"/>
          <w:highlight w:val="lightGray"/>
        </w:rPr>
        <w:t>Issue 3</w:t>
      </w:r>
      <w:r w:rsidRPr="00B1062C">
        <w:rPr>
          <w:rFonts w:ascii="Arial" w:eastAsiaTheme="majorEastAsia" w:hAnsi="Arial" w:cs="Arial"/>
          <w:b/>
          <w:bCs/>
          <w:sz w:val="24"/>
          <w:szCs w:val="24"/>
          <w:highlight w:val="lightGray"/>
        </w:rPr>
        <w:tab/>
      </w:r>
      <w:r w:rsidRPr="00B1062C">
        <w:rPr>
          <w:rFonts w:ascii="Arial" w:eastAsiaTheme="majorEastAsia" w:hAnsi="Arial" w:cs="Arial"/>
          <w:b/>
          <w:bCs/>
          <w:sz w:val="24"/>
          <w:szCs w:val="24"/>
          <w:highlight w:val="lightGray"/>
        </w:rPr>
        <w:tab/>
      </w:r>
      <w:r w:rsidRPr="00B1062C">
        <w:rPr>
          <w:rFonts w:ascii="Arial" w:eastAsiaTheme="majorEastAsia" w:hAnsi="Arial" w:cs="Arial"/>
          <w:b/>
          <w:bCs/>
          <w:sz w:val="24"/>
          <w:szCs w:val="24"/>
          <w:highlight w:val="lightGray"/>
        </w:rPr>
        <w:tab/>
      </w:r>
      <w:r w:rsidRPr="00B1062C">
        <w:rPr>
          <w:rFonts w:ascii="Arial" w:eastAsiaTheme="majorEastAsia" w:hAnsi="Arial" w:cs="Arial"/>
          <w:b/>
          <w:bCs/>
          <w:sz w:val="24"/>
          <w:szCs w:val="24"/>
          <w:highlight w:val="lightGray"/>
        </w:rPr>
        <w:tab/>
      </w:r>
      <w:r w:rsidRPr="00B1062C">
        <w:rPr>
          <w:rFonts w:ascii="Arial" w:eastAsiaTheme="majorEastAsia" w:hAnsi="Arial" w:cs="Arial"/>
          <w:b/>
          <w:bCs/>
          <w:sz w:val="24"/>
          <w:szCs w:val="24"/>
          <w:highlight w:val="lightGray"/>
        </w:rPr>
        <w:tab/>
      </w:r>
      <w:r w:rsidRPr="00B1062C">
        <w:rPr>
          <w:rFonts w:ascii="Arial" w:eastAsiaTheme="majorEastAsia" w:hAnsi="Arial" w:cs="Arial"/>
          <w:b/>
          <w:bCs/>
          <w:sz w:val="24"/>
          <w:szCs w:val="24"/>
          <w:highlight w:val="lightGray"/>
        </w:rPr>
        <w:tab/>
      </w:r>
      <w:r w:rsidRPr="00B1062C">
        <w:rPr>
          <w:rFonts w:ascii="Arial" w:eastAsiaTheme="majorEastAsia" w:hAnsi="Arial" w:cs="Arial"/>
          <w:b/>
          <w:bCs/>
          <w:sz w:val="24"/>
          <w:szCs w:val="24"/>
          <w:highlight w:val="lightGray"/>
        </w:rPr>
        <w:tab/>
      </w:r>
      <w:r w:rsidR="00B1062C">
        <w:rPr>
          <w:rFonts w:ascii="Arial" w:eastAsiaTheme="majorEastAsia" w:hAnsi="Arial" w:cs="Arial"/>
          <w:b/>
          <w:bCs/>
          <w:sz w:val="24"/>
          <w:szCs w:val="24"/>
          <w:highlight w:val="lightGray"/>
        </w:rPr>
        <w:t xml:space="preserve">                 </w:t>
      </w:r>
      <w:r w:rsidRPr="00B1062C">
        <w:rPr>
          <w:rFonts w:ascii="Arial" w:eastAsiaTheme="majorEastAsia" w:hAnsi="Arial" w:cs="Arial"/>
          <w:b/>
          <w:bCs/>
          <w:sz w:val="24"/>
          <w:szCs w:val="24"/>
          <w:highlight w:val="lightGray"/>
        </w:rPr>
        <w:t>17 December 2021</w:t>
      </w:r>
    </w:p>
    <w:p w14:paraId="1C8A1D40" w14:textId="77777777" w:rsidR="002939BD" w:rsidRDefault="002939BD">
      <w:pPr>
        <w:rPr>
          <w:rFonts w:ascii="Arial" w:eastAsiaTheme="majorEastAsia" w:hAnsi="Arial" w:cs="Arial"/>
          <w:b/>
          <w:bCs/>
          <w:sz w:val="24"/>
          <w:szCs w:val="24"/>
        </w:rPr>
      </w:pPr>
    </w:p>
    <w:p w14:paraId="5086C342" w14:textId="60914E86" w:rsidR="002939BD" w:rsidRDefault="002939BD" w:rsidP="002939BD">
      <w:pPr>
        <w:keepNext/>
        <w:keepLines/>
        <w:spacing w:after="240"/>
        <w:outlineLvl w:val="0"/>
        <w:rPr>
          <w:rFonts w:ascii="Arial" w:eastAsiaTheme="majorEastAsia" w:hAnsi="Arial" w:cs="Arial"/>
          <w:sz w:val="24"/>
          <w:szCs w:val="24"/>
        </w:rPr>
      </w:pPr>
      <w:r w:rsidRPr="00B1062C">
        <w:rPr>
          <w:rFonts w:ascii="Arial" w:eastAsiaTheme="majorEastAsia" w:hAnsi="Arial" w:cs="Arial"/>
          <w:b/>
          <w:bCs/>
          <w:sz w:val="24"/>
          <w:szCs w:val="24"/>
          <w:highlight w:val="lightGray"/>
        </w:rPr>
        <w:t>Frequently Asked Questions – General</w:t>
      </w:r>
    </w:p>
    <w:p w14:paraId="60033B70" w14:textId="22681CDE" w:rsidR="002939BD" w:rsidRPr="002A433C" w:rsidRDefault="002939BD" w:rsidP="002939BD">
      <w:pPr>
        <w:pStyle w:val="ListParagraph"/>
        <w:numPr>
          <w:ilvl w:val="0"/>
          <w:numId w:val="1"/>
        </w:numPr>
        <w:rPr>
          <w:rFonts w:ascii="Arial" w:hAnsi="Arial" w:cs="Arial"/>
          <w:sz w:val="24"/>
          <w:szCs w:val="24"/>
        </w:rPr>
      </w:pPr>
      <w:bookmarkStart w:id="0" w:name="_Hlk90549685"/>
      <w:r w:rsidRPr="005A4D32">
        <w:rPr>
          <w:rFonts w:ascii="Arial" w:eastAsia="Times New Roman" w:hAnsi="Arial" w:cs="Arial"/>
          <w:b/>
          <w:bCs/>
          <w:sz w:val="24"/>
          <w:szCs w:val="24"/>
        </w:rPr>
        <w:t>What is the forecast demographic of those expecting to need residential care in the next three years?</w:t>
      </w:r>
      <w:r w:rsidRPr="005A4D32">
        <w:rPr>
          <w:rFonts w:ascii="Arial" w:eastAsia="Times New Roman" w:hAnsi="Arial" w:cs="Arial"/>
          <w:sz w:val="24"/>
          <w:szCs w:val="24"/>
        </w:rPr>
        <w:t xml:space="preserve"> </w:t>
      </w:r>
      <w:r w:rsidRPr="002A433C">
        <w:rPr>
          <w:rFonts w:ascii="Arial" w:eastAsia="Times New Roman" w:hAnsi="Arial" w:cs="Arial"/>
          <w:sz w:val="24"/>
          <w:szCs w:val="24"/>
        </w:rPr>
        <w:t>Forecast information for the next three years is not available but the</w:t>
      </w:r>
      <w:r w:rsidRPr="002A433C">
        <w:rPr>
          <w:rFonts w:ascii="Arial" w:eastAsia="Times New Roman" w:hAnsi="Arial" w:cs="Arial"/>
          <w:b/>
          <w:bCs/>
          <w:sz w:val="24"/>
          <w:szCs w:val="24"/>
        </w:rPr>
        <w:t xml:space="preserve"> </w:t>
      </w:r>
      <w:r w:rsidRPr="002A433C">
        <w:rPr>
          <w:rFonts w:ascii="Arial" w:hAnsi="Arial" w:cs="Arial"/>
          <w:sz w:val="24"/>
          <w:szCs w:val="24"/>
        </w:rPr>
        <w:t>O</w:t>
      </w:r>
      <w:r w:rsidR="002C1751">
        <w:rPr>
          <w:rFonts w:ascii="Arial" w:hAnsi="Arial" w:cs="Arial"/>
          <w:sz w:val="24"/>
          <w:szCs w:val="24"/>
        </w:rPr>
        <w:t>ffice for National Statistics (O</w:t>
      </w:r>
      <w:r w:rsidRPr="002A433C">
        <w:rPr>
          <w:rFonts w:ascii="Arial" w:hAnsi="Arial" w:cs="Arial"/>
          <w:sz w:val="24"/>
          <w:szCs w:val="24"/>
        </w:rPr>
        <w:t>NS</w:t>
      </w:r>
      <w:r w:rsidR="002C1751">
        <w:rPr>
          <w:rFonts w:ascii="Arial" w:hAnsi="Arial" w:cs="Arial"/>
          <w:sz w:val="24"/>
          <w:szCs w:val="24"/>
        </w:rPr>
        <w:t>)</w:t>
      </w:r>
      <w:r>
        <w:rPr>
          <w:rFonts w:ascii="Arial" w:hAnsi="Arial" w:cs="Arial"/>
          <w:sz w:val="24"/>
          <w:szCs w:val="24"/>
        </w:rPr>
        <w:t xml:space="preserve"> </w:t>
      </w:r>
      <w:r w:rsidRPr="002A433C">
        <w:rPr>
          <w:rFonts w:ascii="Arial" w:hAnsi="Arial" w:cs="Arial"/>
          <w:sz w:val="24"/>
          <w:szCs w:val="24"/>
        </w:rPr>
        <w:t xml:space="preserve">states that </w:t>
      </w:r>
      <w:r w:rsidRPr="002A433C">
        <w:rPr>
          <w:rFonts w:ascii="Arial" w:hAnsi="Arial" w:cs="Arial"/>
        </w:rPr>
        <w:t>t</w:t>
      </w:r>
      <w:r w:rsidRPr="002A433C">
        <w:rPr>
          <w:rFonts w:ascii="Arial" w:hAnsi="Arial" w:cs="Arial"/>
          <w:color w:val="323132"/>
          <w:sz w:val="24"/>
          <w:szCs w:val="24"/>
        </w:rPr>
        <w:t>he care home resident population for those aged 65 and over has remained almost stable since 2001</w:t>
      </w:r>
      <w:r w:rsidRPr="002A433C">
        <w:rPr>
          <w:rFonts w:ascii="Arial" w:hAnsi="Arial" w:cs="Arial"/>
          <w:color w:val="323132"/>
        </w:rPr>
        <w:t>,</w:t>
      </w:r>
      <w:r w:rsidRPr="002A433C">
        <w:rPr>
          <w:rFonts w:ascii="Arial" w:hAnsi="Arial" w:cs="Arial"/>
          <w:color w:val="323132"/>
          <w:sz w:val="24"/>
          <w:szCs w:val="24"/>
        </w:rPr>
        <w:t xml:space="preserve"> despite growth of 11.0% in the overall population at this age</w:t>
      </w:r>
      <w:r w:rsidRPr="002A433C">
        <w:rPr>
          <w:rFonts w:ascii="Arial" w:hAnsi="Arial" w:cs="Arial"/>
          <w:sz w:val="24"/>
          <w:szCs w:val="24"/>
        </w:rPr>
        <w:t>*</w:t>
      </w:r>
      <w:r w:rsidRPr="002A433C">
        <w:rPr>
          <w:rFonts w:ascii="Arial" w:hAnsi="Arial" w:cs="Arial"/>
          <w:sz w:val="16"/>
          <w:szCs w:val="16"/>
        </w:rPr>
        <w:t>(1)</w:t>
      </w:r>
      <w:r w:rsidRPr="002A433C">
        <w:rPr>
          <w:rFonts w:ascii="Arial" w:hAnsi="Arial" w:cs="Arial"/>
          <w:color w:val="323132"/>
          <w:sz w:val="24"/>
          <w:szCs w:val="24"/>
        </w:rPr>
        <w:t>. P</w:t>
      </w:r>
      <w:r w:rsidRPr="002A433C">
        <w:rPr>
          <w:rFonts w:ascii="Arial" w:eastAsia="Times New Roman" w:hAnsi="Arial" w:cs="Arial"/>
          <w:sz w:val="24"/>
          <w:szCs w:val="24"/>
        </w:rPr>
        <w:t xml:space="preserve">lans for services are developed on future projections of population.  </w:t>
      </w:r>
      <w:r w:rsidRPr="0076219D">
        <w:rPr>
          <w:rFonts w:ascii="Arial" w:hAnsi="Arial" w:cs="Arial"/>
          <w:sz w:val="24"/>
          <w:szCs w:val="24"/>
          <w:shd w:val="clear" w:color="auto" w:fill="FFFFFF"/>
        </w:rPr>
        <w:t>The ONS estimated that the resident population of Surrey at Mid 2017 was 1,185,300.</w:t>
      </w:r>
      <w:r>
        <w:rPr>
          <w:rFonts w:ascii="Arial" w:hAnsi="Arial" w:cs="Arial"/>
          <w:sz w:val="24"/>
          <w:szCs w:val="24"/>
          <w:shd w:val="clear" w:color="auto" w:fill="FFFFFF"/>
        </w:rPr>
        <w:t xml:space="preserve"> </w:t>
      </w:r>
      <w:r w:rsidRPr="0076219D">
        <w:rPr>
          <w:rFonts w:ascii="Arial" w:eastAsia="Times New Roman" w:hAnsi="Arial" w:cs="Arial"/>
          <w:sz w:val="24"/>
          <w:szCs w:val="24"/>
        </w:rPr>
        <w:t>The</w:t>
      </w:r>
      <w:r w:rsidRPr="0076219D">
        <w:rPr>
          <w:rFonts w:ascii="Arial" w:eastAsia="Times New Roman" w:hAnsi="Arial" w:cs="Arial"/>
          <w:b/>
          <w:bCs/>
          <w:sz w:val="24"/>
          <w:szCs w:val="24"/>
        </w:rPr>
        <w:t xml:space="preserve"> </w:t>
      </w:r>
      <w:r w:rsidRPr="0076219D">
        <w:rPr>
          <w:rFonts w:ascii="Arial" w:hAnsi="Arial" w:cs="Arial"/>
          <w:sz w:val="24"/>
          <w:szCs w:val="24"/>
        </w:rPr>
        <w:t>Joint Strategic Needs A</w:t>
      </w:r>
      <w:r w:rsidRPr="002A433C">
        <w:rPr>
          <w:rFonts w:ascii="Arial" w:hAnsi="Arial" w:cs="Arial"/>
          <w:color w:val="323132"/>
          <w:sz w:val="24"/>
          <w:szCs w:val="24"/>
        </w:rPr>
        <w:t xml:space="preserve">ssessment (JSNA) estimates </w:t>
      </w:r>
      <w:r w:rsidRPr="0076219D">
        <w:rPr>
          <w:rFonts w:ascii="Arial" w:hAnsi="Arial" w:cs="Arial"/>
          <w:color w:val="323132"/>
          <w:sz w:val="24"/>
          <w:szCs w:val="24"/>
        </w:rPr>
        <w:t>that t</w:t>
      </w:r>
      <w:r w:rsidRPr="0076219D">
        <w:rPr>
          <w:rFonts w:ascii="Arial" w:hAnsi="Arial" w:cs="Arial"/>
          <w:color w:val="4A4A4A"/>
          <w:sz w:val="24"/>
          <w:szCs w:val="24"/>
          <w:shd w:val="clear" w:color="auto" w:fill="FFFFFF"/>
        </w:rPr>
        <w:t xml:space="preserve">he proportion of the population </w:t>
      </w:r>
      <w:r w:rsidRPr="0076219D">
        <w:rPr>
          <w:rFonts w:ascii="Arial" w:hAnsi="Arial" w:cs="Arial"/>
          <w:color w:val="323132"/>
          <w:sz w:val="24"/>
          <w:szCs w:val="24"/>
        </w:rPr>
        <w:t>of</w:t>
      </w:r>
      <w:r w:rsidRPr="002A433C">
        <w:rPr>
          <w:rFonts w:ascii="Arial" w:hAnsi="Arial" w:cs="Arial"/>
          <w:color w:val="323132"/>
          <w:sz w:val="24"/>
          <w:szCs w:val="24"/>
        </w:rPr>
        <w:t xml:space="preserve"> Surrey aged over 65 will increase from 18.6% </w:t>
      </w:r>
      <w:r w:rsidR="004C1012">
        <w:rPr>
          <w:rFonts w:ascii="Arial" w:hAnsi="Arial" w:cs="Arial"/>
          <w:color w:val="323132"/>
          <w:sz w:val="24"/>
          <w:szCs w:val="24"/>
        </w:rPr>
        <w:t>(220,413)</w:t>
      </w:r>
      <w:r w:rsidR="004C1012" w:rsidRPr="002A433C">
        <w:rPr>
          <w:rFonts w:ascii="Arial" w:hAnsi="Arial" w:cs="Arial"/>
          <w:color w:val="323132"/>
          <w:sz w:val="24"/>
          <w:szCs w:val="24"/>
        </w:rPr>
        <w:t xml:space="preserve"> </w:t>
      </w:r>
      <w:r w:rsidRPr="002A433C">
        <w:rPr>
          <w:rFonts w:ascii="Arial" w:hAnsi="Arial" w:cs="Arial"/>
          <w:color w:val="323132"/>
          <w:sz w:val="24"/>
          <w:szCs w:val="24"/>
        </w:rPr>
        <w:t>in 2016</w:t>
      </w:r>
      <w:r w:rsidR="004C1012">
        <w:rPr>
          <w:rFonts w:ascii="Arial" w:hAnsi="Arial" w:cs="Arial"/>
          <w:color w:val="323132"/>
          <w:sz w:val="24"/>
          <w:szCs w:val="24"/>
        </w:rPr>
        <w:t xml:space="preserve"> </w:t>
      </w:r>
      <w:r w:rsidRPr="002A433C">
        <w:rPr>
          <w:rFonts w:ascii="Arial" w:hAnsi="Arial" w:cs="Arial"/>
          <w:color w:val="323132"/>
          <w:sz w:val="24"/>
          <w:szCs w:val="24"/>
        </w:rPr>
        <w:t xml:space="preserve">to 25.4% </w:t>
      </w:r>
      <w:r w:rsidR="004C1012">
        <w:rPr>
          <w:rFonts w:ascii="Arial" w:hAnsi="Arial" w:cs="Arial"/>
          <w:color w:val="323132"/>
          <w:sz w:val="24"/>
          <w:szCs w:val="24"/>
        </w:rPr>
        <w:t>(</w:t>
      </w:r>
      <w:r w:rsidR="004C1012" w:rsidRPr="004C1012">
        <w:rPr>
          <w:rFonts w:ascii="Arial" w:hAnsi="Arial" w:cs="Arial"/>
          <w:color w:val="323132"/>
          <w:sz w:val="24"/>
          <w:szCs w:val="24"/>
        </w:rPr>
        <w:t>332,613</w:t>
      </w:r>
      <w:r w:rsidR="004C1012">
        <w:rPr>
          <w:rFonts w:ascii="Arial" w:hAnsi="Arial" w:cs="Arial"/>
          <w:color w:val="323132"/>
          <w:sz w:val="24"/>
          <w:szCs w:val="24"/>
        </w:rPr>
        <w:t xml:space="preserve">) </w:t>
      </w:r>
      <w:r w:rsidRPr="002A433C">
        <w:rPr>
          <w:rFonts w:ascii="Arial" w:hAnsi="Arial" w:cs="Arial"/>
          <w:color w:val="323132"/>
          <w:sz w:val="24"/>
          <w:szCs w:val="24"/>
        </w:rPr>
        <w:t xml:space="preserve">in 2041 </w:t>
      </w:r>
      <w:r w:rsidRPr="002A433C">
        <w:rPr>
          <w:rFonts w:ascii="Arial" w:hAnsi="Arial" w:cs="Arial"/>
          <w:color w:val="323132"/>
          <w:sz w:val="16"/>
          <w:szCs w:val="16"/>
        </w:rPr>
        <w:t>(2)</w:t>
      </w:r>
      <w:r w:rsidRPr="002A433C">
        <w:rPr>
          <w:rFonts w:ascii="Arial" w:hAnsi="Arial" w:cs="Arial"/>
          <w:color w:val="323132"/>
          <w:sz w:val="24"/>
          <w:szCs w:val="24"/>
        </w:rPr>
        <w:t>.</w:t>
      </w:r>
    </w:p>
    <w:bookmarkEnd w:id="0"/>
    <w:p w14:paraId="770C2CA6" w14:textId="77777777" w:rsidR="002939BD" w:rsidRPr="005A4D32" w:rsidRDefault="002939BD" w:rsidP="002939BD">
      <w:pPr>
        <w:shd w:val="clear" w:color="auto" w:fill="FFFFFF"/>
        <w:ind w:left="720"/>
        <w:rPr>
          <w:rFonts w:ascii="Arial" w:hAnsi="Arial" w:cs="Arial"/>
          <w:color w:val="323132"/>
          <w:sz w:val="24"/>
          <w:szCs w:val="24"/>
        </w:rPr>
      </w:pPr>
    </w:p>
    <w:p w14:paraId="2919CAE7" w14:textId="77777777" w:rsidR="002939BD" w:rsidRPr="005A4D32" w:rsidRDefault="002939BD" w:rsidP="002939BD">
      <w:pPr>
        <w:ind w:left="1440"/>
        <w:rPr>
          <w:rFonts w:ascii="Arial" w:hAnsi="Arial" w:cs="Arial"/>
          <w:sz w:val="16"/>
          <w:szCs w:val="16"/>
        </w:rPr>
      </w:pPr>
      <w:r w:rsidRPr="005A4D32">
        <w:rPr>
          <w:rFonts w:ascii="Arial" w:hAnsi="Arial" w:cs="Arial"/>
          <w:sz w:val="16"/>
          <w:szCs w:val="16"/>
        </w:rPr>
        <w:t xml:space="preserve">*Source (1): </w:t>
      </w:r>
      <w:hyperlink r:id="rId7" w:history="1">
        <w:r w:rsidRPr="005A4D32">
          <w:rPr>
            <w:rFonts w:ascii="Arial" w:hAnsi="Arial" w:cs="Arial"/>
            <w:color w:val="0000FF"/>
            <w:sz w:val="16"/>
            <w:szCs w:val="16"/>
            <w:u w:val="single"/>
          </w:rPr>
          <w:t>Changes in the Older Resident Care Home Population between 2001 and 2011 - Office for National Statistics (ons.gov.uk)</w:t>
        </w:r>
      </w:hyperlink>
    </w:p>
    <w:p w14:paraId="03991052" w14:textId="35438543" w:rsidR="002939BD" w:rsidRPr="002C1751" w:rsidRDefault="002939BD" w:rsidP="002C1751">
      <w:pPr>
        <w:pStyle w:val="ListParagraph"/>
        <w:ind w:left="1440"/>
        <w:rPr>
          <w:rFonts w:ascii="Arial" w:hAnsi="Arial" w:cs="Arial"/>
          <w:color w:val="0000FF"/>
          <w:sz w:val="24"/>
          <w:szCs w:val="24"/>
          <w:u w:val="single"/>
        </w:rPr>
      </w:pPr>
      <w:r w:rsidRPr="000F33BF">
        <w:rPr>
          <w:rFonts w:ascii="Arial" w:hAnsi="Arial" w:cs="Arial"/>
          <w:sz w:val="16"/>
          <w:szCs w:val="16"/>
        </w:rPr>
        <w:t xml:space="preserve">*Source (2): </w:t>
      </w:r>
      <w:hyperlink r:id="rId8" w:anchor="header-population-projections" w:history="1">
        <w:r w:rsidRPr="000F33BF">
          <w:rPr>
            <w:rFonts w:ascii="Arial" w:hAnsi="Arial" w:cs="Arial"/>
            <w:color w:val="0000FF"/>
            <w:sz w:val="16"/>
            <w:szCs w:val="16"/>
            <w:u w:val="single"/>
          </w:rPr>
          <w:t>The Surrey Context – People &amp; Places – Surrey-</w:t>
        </w:r>
        <w:proofErr w:type="spellStart"/>
        <w:r w:rsidRPr="000F33BF">
          <w:rPr>
            <w:rFonts w:ascii="Arial" w:hAnsi="Arial" w:cs="Arial"/>
            <w:color w:val="0000FF"/>
            <w:sz w:val="16"/>
            <w:szCs w:val="16"/>
            <w:u w:val="single"/>
          </w:rPr>
          <w:t>i</w:t>
        </w:r>
        <w:proofErr w:type="spellEnd"/>
        <w:r w:rsidRPr="000F33BF">
          <w:rPr>
            <w:rFonts w:ascii="Arial" w:hAnsi="Arial" w:cs="Arial"/>
            <w:color w:val="0000FF"/>
            <w:sz w:val="16"/>
            <w:szCs w:val="16"/>
            <w:u w:val="single"/>
          </w:rPr>
          <w:t xml:space="preserve"> (surreyi.gov.uk)</w:t>
        </w:r>
      </w:hyperlink>
      <w:r>
        <w:rPr>
          <w:rFonts w:ascii="Arial" w:hAnsi="Arial" w:cs="Arial"/>
          <w:color w:val="0000FF"/>
          <w:sz w:val="16"/>
          <w:szCs w:val="16"/>
          <w:u w:val="single"/>
        </w:rPr>
        <w:t xml:space="preserve"> </w:t>
      </w:r>
      <w:r w:rsidR="002C1751">
        <w:rPr>
          <w:rFonts w:ascii="Arial" w:hAnsi="Arial" w:cs="Arial"/>
          <w:sz w:val="24"/>
          <w:szCs w:val="24"/>
        </w:rPr>
        <w:tab/>
      </w:r>
    </w:p>
    <w:p w14:paraId="1D37025F" w14:textId="6262B1A1" w:rsidR="002C1751" w:rsidRDefault="002C1751" w:rsidP="002939BD">
      <w:pPr>
        <w:rPr>
          <w:rFonts w:ascii="Arial" w:hAnsi="Arial" w:cs="Arial"/>
          <w:sz w:val="24"/>
          <w:szCs w:val="24"/>
        </w:rPr>
      </w:pPr>
    </w:p>
    <w:p w14:paraId="1D6F5438" w14:textId="77777777" w:rsidR="002C1751" w:rsidRDefault="002C1751" w:rsidP="002C1751">
      <w:pPr>
        <w:pStyle w:val="ListParagraph"/>
        <w:numPr>
          <w:ilvl w:val="0"/>
          <w:numId w:val="1"/>
        </w:numPr>
        <w:rPr>
          <w:rFonts w:ascii="Arial" w:hAnsi="Arial" w:cs="Arial"/>
          <w:sz w:val="24"/>
          <w:szCs w:val="24"/>
        </w:rPr>
      </w:pPr>
      <w:r w:rsidRPr="00514F10">
        <w:rPr>
          <w:rFonts w:ascii="Arial" w:hAnsi="Arial" w:cs="Arial"/>
          <w:b/>
          <w:bCs/>
          <w:sz w:val="24"/>
          <w:szCs w:val="24"/>
        </w:rPr>
        <w:t>My relative pays the full costs of care.  If the home they live in is refurbished and costs increase or if the home closes and they move to an independent care home that is more expensive, will they have to pay more?</w:t>
      </w:r>
      <w:r w:rsidRPr="00514F10">
        <w:rPr>
          <w:rFonts w:ascii="Arial" w:hAnsi="Arial" w:cs="Arial"/>
          <w:sz w:val="24"/>
          <w:szCs w:val="24"/>
        </w:rPr>
        <w:t xml:space="preserve">   The law prevents </w:t>
      </w:r>
      <w:r>
        <w:rPr>
          <w:rFonts w:ascii="Arial" w:hAnsi="Arial" w:cs="Arial"/>
          <w:sz w:val="24"/>
          <w:szCs w:val="24"/>
        </w:rPr>
        <w:t xml:space="preserve">the council </w:t>
      </w:r>
      <w:r w:rsidRPr="00514F10">
        <w:rPr>
          <w:rFonts w:ascii="Arial" w:hAnsi="Arial" w:cs="Arial"/>
          <w:sz w:val="24"/>
          <w:szCs w:val="24"/>
        </w:rPr>
        <w:t xml:space="preserve">from paying for residential/nursing care where people have savings </w:t>
      </w:r>
      <w:proofErr w:type="gramStart"/>
      <w:r w:rsidRPr="00514F10">
        <w:rPr>
          <w:rFonts w:ascii="Arial" w:hAnsi="Arial" w:cs="Arial"/>
          <w:sz w:val="24"/>
          <w:szCs w:val="24"/>
        </w:rPr>
        <w:t>in excess of</w:t>
      </w:r>
      <w:proofErr w:type="gramEnd"/>
      <w:r w:rsidRPr="00514F10">
        <w:rPr>
          <w:rFonts w:ascii="Arial" w:hAnsi="Arial" w:cs="Arial"/>
          <w:sz w:val="24"/>
          <w:szCs w:val="24"/>
        </w:rPr>
        <w:t xml:space="preserve"> the capital threshold </w:t>
      </w:r>
      <w:r>
        <w:rPr>
          <w:rFonts w:ascii="Arial" w:hAnsi="Arial" w:cs="Arial"/>
          <w:sz w:val="24"/>
          <w:szCs w:val="24"/>
        </w:rPr>
        <w:t xml:space="preserve">of </w:t>
      </w:r>
      <w:r w:rsidRPr="00514F10">
        <w:rPr>
          <w:rFonts w:ascii="Arial" w:hAnsi="Arial" w:cs="Arial"/>
          <w:sz w:val="24"/>
          <w:szCs w:val="24"/>
        </w:rPr>
        <w:t xml:space="preserve">£23,250. </w:t>
      </w:r>
      <w:r>
        <w:rPr>
          <w:rFonts w:ascii="Arial" w:hAnsi="Arial" w:cs="Arial"/>
          <w:sz w:val="24"/>
          <w:szCs w:val="24"/>
        </w:rPr>
        <w:t>A</w:t>
      </w:r>
      <w:r w:rsidRPr="00514F10">
        <w:rPr>
          <w:rFonts w:ascii="Arial" w:hAnsi="Arial" w:cs="Arial"/>
          <w:sz w:val="24"/>
          <w:szCs w:val="24"/>
        </w:rPr>
        <w:t xml:space="preserve">nyone who is paying in full for their own care because of capital, will </w:t>
      </w:r>
      <w:r>
        <w:rPr>
          <w:rFonts w:ascii="Arial" w:hAnsi="Arial" w:cs="Arial"/>
          <w:sz w:val="24"/>
          <w:szCs w:val="24"/>
        </w:rPr>
        <w:t xml:space="preserve">therefore </w:t>
      </w:r>
      <w:r w:rsidRPr="00514F10">
        <w:rPr>
          <w:rFonts w:ascii="Arial" w:hAnsi="Arial" w:cs="Arial"/>
          <w:sz w:val="24"/>
          <w:szCs w:val="24"/>
        </w:rPr>
        <w:t xml:space="preserve">have to pay the full cost of any increased charge because of refurbishment or will have to pay the higher cost if they moved to an alternative, more expensive home. </w:t>
      </w:r>
      <w:r>
        <w:rPr>
          <w:rFonts w:ascii="Arial" w:hAnsi="Arial" w:cs="Arial"/>
          <w:sz w:val="24"/>
          <w:szCs w:val="24"/>
        </w:rPr>
        <w:t>If this were to happen then reasonable notice of at least four weeks would be given.</w:t>
      </w:r>
    </w:p>
    <w:p w14:paraId="33DF0F50" w14:textId="77777777" w:rsidR="002C1751" w:rsidRPr="00620832" w:rsidRDefault="002C1751" w:rsidP="002C1751">
      <w:pPr>
        <w:pStyle w:val="ListParagraph"/>
        <w:rPr>
          <w:color w:val="FF0000"/>
        </w:rPr>
      </w:pPr>
      <w:bookmarkStart w:id="1" w:name="_Hlk89338121"/>
    </w:p>
    <w:bookmarkEnd w:id="1"/>
    <w:p w14:paraId="38CC8487" w14:textId="77777777" w:rsidR="006E0065" w:rsidRPr="006E0065" w:rsidRDefault="002C1751" w:rsidP="002B42F9">
      <w:pPr>
        <w:pStyle w:val="ListParagraph"/>
        <w:numPr>
          <w:ilvl w:val="0"/>
          <w:numId w:val="1"/>
        </w:numPr>
        <w:rPr>
          <w:rFonts w:ascii="Arial" w:hAnsi="Arial" w:cs="Arial"/>
          <w:b/>
          <w:bCs/>
        </w:rPr>
      </w:pPr>
      <w:r w:rsidRPr="006E0065">
        <w:rPr>
          <w:rFonts w:ascii="Arial" w:hAnsi="Arial" w:cs="Arial"/>
          <w:b/>
          <w:bCs/>
          <w:sz w:val="24"/>
          <w:szCs w:val="24"/>
        </w:rPr>
        <w:t xml:space="preserve">My relative contributes to their care costs from their income.  If they moved to an independent care home that was more expensive or if the costs at their current home increased </w:t>
      </w:r>
      <w:proofErr w:type="gramStart"/>
      <w:r w:rsidRPr="006E0065">
        <w:rPr>
          <w:rFonts w:ascii="Arial" w:hAnsi="Arial" w:cs="Arial"/>
          <w:b/>
          <w:bCs/>
          <w:sz w:val="24"/>
          <w:szCs w:val="24"/>
        </w:rPr>
        <w:t>as a result of</w:t>
      </w:r>
      <w:proofErr w:type="gramEnd"/>
      <w:r w:rsidRPr="006E0065">
        <w:rPr>
          <w:rFonts w:ascii="Arial" w:hAnsi="Arial" w:cs="Arial"/>
          <w:b/>
          <w:bCs/>
          <w:sz w:val="24"/>
          <w:szCs w:val="24"/>
        </w:rPr>
        <w:t xml:space="preserve"> refurbishment, would they be expected to contribute more?</w:t>
      </w:r>
      <w:r w:rsidRPr="006E0065">
        <w:rPr>
          <w:rFonts w:ascii="Arial" w:hAnsi="Arial" w:cs="Arial"/>
          <w:sz w:val="24"/>
          <w:szCs w:val="24"/>
        </w:rPr>
        <w:t xml:space="preserve"> Residents who pay a contribution towards the full cost of the home, will not see a change in their contributions regardless of any increases in care costs. The contribution is based on their means to pay rather than the cost of the placement.</w:t>
      </w:r>
    </w:p>
    <w:p w14:paraId="141CFB33" w14:textId="23EC3C28" w:rsidR="002C1751" w:rsidRPr="006E0065" w:rsidRDefault="002C1751" w:rsidP="006E0065">
      <w:pPr>
        <w:pStyle w:val="ListParagraph"/>
        <w:rPr>
          <w:rFonts w:ascii="Arial" w:hAnsi="Arial" w:cs="Arial"/>
          <w:b/>
          <w:bCs/>
        </w:rPr>
      </w:pPr>
      <w:r w:rsidRPr="006E0065">
        <w:rPr>
          <w:color w:val="FF0000"/>
        </w:rPr>
        <w:t xml:space="preserve"> </w:t>
      </w:r>
      <w:bookmarkStart w:id="2" w:name="_Hlk88672359"/>
    </w:p>
    <w:p w14:paraId="4DA85980" w14:textId="1C7A1FA7" w:rsidR="002C1751" w:rsidRPr="002C1751" w:rsidRDefault="002C1751" w:rsidP="002C1751">
      <w:pPr>
        <w:pStyle w:val="ListParagraph"/>
        <w:numPr>
          <w:ilvl w:val="0"/>
          <w:numId w:val="1"/>
        </w:numPr>
        <w:rPr>
          <w:rFonts w:ascii="Arial" w:hAnsi="Arial" w:cs="Arial"/>
          <w:b/>
          <w:bCs/>
        </w:rPr>
      </w:pPr>
      <w:r w:rsidRPr="00125D63">
        <w:rPr>
          <w:rFonts w:ascii="Arial" w:hAnsi="Arial" w:cs="Arial"/>
          <w:b/>
          <w:bCs/>
          <w:sz w:val="24"/>
          <w:szCs w:val="24"/>
        </w:rPr>
        <w:t xml:space="preserve">How many councils run their own residential care services for older people? </w:t>
      </w:r>
      <w:bookmarkEnd w:id="2"/>
      <w:r w:rsidRPr="00125D63">
        <w:rPr>
          <w:rFonts w:ascii="Arial" w:hAnsi="Arial" w:cs="Arial"/>
          <w:sz w:val="24"/>
          <w:szCs w:val="24"/>
        </w:rPr>
        <w:t>There were a total number of 109 councils in England recorded as providing residential care services for older people as of 1 December 2021*</w:t>
      </w:r>
      <w:r w:rsidRPr="002C1751">
        <w:rPr>
          <w:rFonts w:ascii="Arial" w:hAnsi="Arial" w:cs="Arial"/>
        </w:rPr>
        <w:t xml:space="preserve"> </w:t>
      </w:r>
      <w:r w:rsidRPr="002C1751">
        <w:rPr>
          <w:rFonts w:ascii="Arial" w:hAnsi="Arial" w:cs="Arial"/>
          <w:sz w:val="16"/>
          <w:szCs w:val="16"/>
        </w:rPr>
        <w:t>(1).</w:t>
      </w:r>
      <w:r w:rsidRPr="002C1751">
        <w:rPr>
          <w:rFonts w:ascii="Arial" w:hAnsi="Arial" w:cs="Arial"/>
          <w:b/>
          <w:bCs/>
        </w:rPr>
        <w:t xml:space="preserve">  </w:t>
      </w:r>
      <w:r w:rsidRPr="00125D63">
        <w:rPr>
          <w:rFonts w:ascii="Arial" w:hAnsi="Arial" w:cs="Arial"/>
          <w:sz w:val="24"/>
          <w:szCs w:val="24"/>
        </w:rPr>
        <w:t>This is out of a total number of 333 councils which include 2</w:t>
      </w:r>
      <w:r w:rsidRPr="00125D63">
        <w:rPr>
          <w:rFonts w:ascii="Arial" w:hAnsi="Arial" w:cs="Arial"/>
          <w:color w:val="202124"/>
          <w:sz w:val="24"/>
          <w:szCs w:val="24"/>
          <w:shd w:val="clear" w:color="auto" w:fill="FFFFFF"/>
        </w:rPr>
        <w:t>4 county councils, 181 district councils and 128 unitary councils.</w:t>
      </w:r>
    </w:p>
    <w:p w14:paraId="4E7E51E0" w14:textId="77777777" w:rsidR="002C1751" w:rsidRDefault="002C1751" w:rsidP="002C1751">
      <w:pPr>
        <w:pStyle w:val="ListParagraph"/>
        <w:rPr>
          <w:rFonts w:ascii="Arial" w:hAnsi="Arial" w:cs="Arial"/>
          <w:b/>
          <w:bCs/>
        </w:rPr>
      </w:pPr>
    </w:p>
    <w:p w14:paraId="5F17D810" w14:textId="77777777" w:rsidR="002C1751" w:rsidRDefault="002C1751" w:rsidP="002C1751">
      <w:pPr>
        <w:pStyle w:val="ListParagraph"/>
        <w:ind w:left="1440"/>
        <w:rPr>
          <w:rFonts w:ascii="Arial" w:hAnsi="Arial" w:cs="Arial"/>
          <w:b/>
          <w:bCs/>
        </w:rPr>
      </w:pPr>
      <w:r>
        <w:t xml:space="preserve">*Source: Care Quality Commission </w:t>
      </w:r>
      <w:hyperlink r:id="rId9" w:history="1">
        <w:r w:rsidRPr="00EE30EC">
          <w:rPr>
            <w:color w:val="0000FF"/>
            <w:u w:val="single"/>
          </w:rPr>
          <w:t>Using CQC data | Care Quality Commission</w:t>
        </w:r>
      </w:hyperlink>
    </w:p>
    <w:p w14:paraId="64CF70E9" w14:textId="37B51A7B" w:rsidR="002C1751" w:rsidRDefault="002C1751" w:rsidP="002C1751"/>
    <w:p w14:paraId="253B49C6" w14:textId="77777777" w:rsidR="002C1751" w:rsidRPr="00125D63" w:rsidRDefault="002C1751" w:rsidP="002C1751">
      <w:pPr>
        <w:pStyle w:val="ListParagraph"/>
        <w:numPr>
          <w:ilvl w:val="0"/>
          <w:numId w:val="1"/>
        </w:numPr>
        <w:rPr>
          <w:rFonts w:ascii="Arial" w:hAnsi="Arial" w:cs="Arial"/>
          <w:b/>
          <w:bCs/>
          <w:sz w:val="24"/>
          <w:szCs w:val="24"/>
        </w:rPr>
      </w:pPr>
      <w:bookmarkStart w:id="3" w:name="_Hlk88670408"/>
      <w:r w:rsidRPr="00125D63">
        <w:rPr>
          <w:rFonts w:ascii="Arial" w:hAnsi="Arial" w:cs="Arial"/>
          <w:b/>
          <w:bCs/>
          <w:sz w:val="24"/>
          <w:szCs w:val="24"/>
        </w:rPr>
        <w:lastRenderedPageBreak/>
        <w:t>How many vacancies are there in the older people’s residential care homes that Surrey County Council has block contracts with?</w:t>
      </w:r>
      <w:r w:rsidRPr="00125D63">
        <w:rPr>
          <w:rFonts w:ascii="Arial" w:hAnsi="Arial" w:cs="Arial"/>
          <w:sz w:val="24"/>
          <w:szCs w:val="24"/>
        </w:rPr>
        <w:t xml:space="preserve"> As </w:t>
      </w:r>
      <w:proofErr w:type="gramStart"/>
      <w:r w:rsidRPr="00125D63">
        <w:rPr>
          <w:rFonts w:ascii="Arial" w:hAnsi="Arial" w:cs="Arial"/>
          <w:sz w:val="24"/>
          <w:szCs w:val="24"/>
        </w:rPr>
        <w:t>at</w:t>
      </w:r>
      <w:proofErr w:type="gramEnd"/>
      <w:r w:rsidRPr="00125D63">
        <w:rPr>
          <w:rFonts w:ascii="Arial" w:hAnsi="Arial" w:cs="Arial"/>
          <w:sz w:val="24"/>
          <w:szCs w:val="24"/>
        </w:rPr>
        <w:t xml:space="preserve"> 14 November 2021, there were 29 contracted bed vacancies and 31 non-contracted bed vacancies </w:t>
      </w:r>
      <w:bookmarkEnd w:id="3"/>
      <w:r w:rsidRPr="00125D63">
        <w:rPr>
          <w:rFonts w:ascii="Arial" w:hAnsi="Arial" w:cs="Arial"/>
          <w:sz w:val="24"/>
          <w:szCs w:val="24"/>
        </w:rPr>
        <w:t>in the homes that the council has block contracts with.</w:t>
      </w:r>
    </w:p>
    <w:p w14:paraId="39C5BB93" w14:textId="3FD21DB2" w:rsidR="002C1751" w:rsidRDefault="002C1751" w:rsidP="002C1751"/>
    <w:p w14:paraId="45BDB8D1" w14:textId="36DD897A" w:rsidR="002C1751" w:rsidRPr="002C1751" w:rsidRDefault="002C1751" w:rsidP="002C1751">
      <w:pPr>
        <w:numPr>
          <w:ilvl w:val="0"/>
          <w:numId w:val="1"/>
        </w:numPr>
        <w:rPr>
          <w:rFonts w:ascii="Arial" w:eastAsia="Times New Roman" w:hAnsi="Arial" w:cs="Arial"/>
          <w:sz w:val="24"/>
          <w:szCs w:val="24"/>
        </w:rPr>
      </w:pPr>
      <w:bookmarkStart w:id="4" w:name="_Hlk90027939"/>
      <w:r w:rsidRPr="002C1751">
        <w:rPr>
          <w:rFonts w:ascii="Arial" w:hAnsi="Arial" w:cs="Arial"/>
          <w:b/>
          <w:bCs/>
          <w:sz w:val="24"/>
          <w:szCs w:val="24"/>
        </w:rPr>
        <w:t>Is there any way of challenging the decision once it has been made?</w:t>
      </w:r>
      <w:r w:rsidRPr="002C1751">
        <w:rPr>
          <w:rFonts w:ascii="Arial" w:hAnsi="Arial" w:cs="Arial"/>
          <w:sz w:val="24"/>
          <w:szCs w:val="24"/>
        </w:rPr>
        <w:t xml:space="preserve"> Once the decision on the future of the homes has been made by the council’s cabinet, there is a period of five working days in which county councillors can ‘call-in’ or challenge the decision. This can only be done by the </w:t>
      </w:r>
      <w:r w:rsidRPr="002C1751">
        <w:rPr>
          <w:rFonts w:ascii="Arial" w:eastAsia="Times New Roman" w:hAnsi="Arial" w:cs="Arial"/>
          <w:sz w:val="24"/>
          <w:szCs w:val="24"/>
        </w:rPr>
        <w:t>Chairman or Vice-Chairman of the relevant Select Committee or by three or more councillor</w:t>
      </w:r>
      <w:r>
        <w:rPr>
          <w:rFonts w:ascii="Arial" w:eastAsia="Times New Roman" w:hAnsi="Arial" w:cs="Arial"/>
          <w:sz w:val="24"/>
          <w:szCs w:val="24"/>
        </w:rPr>
        <w:t>s</w:t>
      </w:r>
      <w:r w:rsidRPr="002C1751">
        <w:rPr>
          <w:rFonts w:ascii="Arial" w:eastAsia="Times New Roman" w:hAnsi="Arial" w:cs="Arial"/>
          <w:sz w:val="24"/>
          <w:szCs w:val="24"/>
        </w:rPr>
        <w:t xml:space="preserve"> from more than one political party, and only for the following reasons:</w:t>
      </w:r>
    </w:p>
    <w:p w14:paraId="1A67F335" w14:textId="77777777" w:rsidR="002C1751" w:rsidRPr="002C1751" w:rsidRDefault="002C1751" w:rsidP="002C1751">
      <w:pPr>
        <w:numPr>
          <w:ilvl w:val="0"/>
          <w:numId w:val="15"/>
        </w:numPr>
        <w:shd w:val="clear" w:color="auto" w:fill="FFFFFF"/>
        <w:spacing w:before="100" w:beforeAutospacing="1" w:after="100" w:afterAutospacing="1" w:line="300" w:lineRule="atLeast"/>
        <w:contextualSpacing/>
        <w:rPr>
          <w:rFonts w:ascii="Arial" w:hAnsi="Arial" w:cs="Arial"/>
          <w:color w:val="161616"/>
          <w:sz w:val="24"/>
          <w:szCs w:val="24"/>
          <w:lang w:eastAsia="en-GB"/>
        </w:rPr>
      </w:pPr>
      <w:r w:rsidRPr="002C1751">
        <w:rPr>
          <w:rFonts w:ascii="Arial" w:hAnsi="Arial" w:cs="Arial"/>
          <w:color w:val="161616"/>
          <w:sz w:val="24"/>
          <w:szCs w:val="24"/>
          <w:lang w:eastAsia="en-GB"/>
        </w:rPr>
        <w:t>If there is evidence to show the decision was not made correctly</w:t>
      </w:r>
    </w:p>
    <w:p w14:paraId="20EA0475" w14:textId="77777777" w:rsidR="002C1751" w:rsidRPr="002C1751" w:rsidRDefault="002C1751" w:rsidP="002C1751">
      <w:pPr>
        <w:numPr>
          <w:ilvl w:val="0"/>
          <w:numId w:val="15"/>
        </w:numPr>
        <w:shd w:val="clear" w:color="auto" w:fill="FFFFFF"/>
        <w:spacing w:before="100" w:beforeAutospacing="1" w:after="100" w:afterAutospacing="1" w:line="300" w:lineRule="atLeast"/>
        <w:contextualSpacing/>
        <w:rPr>
          <w:rFonts w:ascii="Arial" w:hAnsi="Arial" w:cs="Arial"/>
          <w:color w:val="161616"/>
          <w:sz w:val="24"/>
          <w:szCs w:val="24"/>
          <w:lang w:eastAsia="en-GB"/>
        </w:rPr>
      </w:pPr>
      <w:r w:rsidRPr="002C1751">
        <w:rPr>
          <w:rFonts w:ascii="Arial" w:hAnsi="Arial" w:cs="Arial"/>
          <w:color w:val="161616"/>
          <w:sz w:val="24"/>
          <w:szCs w:val="24"/>
          <w:lang w:eastAsia="en-GB"/>
        </w:rPr>
        <w:t>If the members are aware of other matters the cabinet did not look at when they made the decision</w:t>
      </w:r>
    </w:p>
    <w:bookmarkEnd w:id="4"/>
    <w:p w14:paraId="78351E8D" w14:textId="1F72E324" w:rsidR="00C22C2F" w:rsidRPr="006E0065" w:rsidRDefault="00360349" w:rsidP="00360349">
      <w:pPr>
        <w:pStyle w:val="ListParagraph"/>
        <w:numPr>
          <w:ilvl w:val="0"/>
          <w:numId w:val="1"/>
        </w:numPr>
        <w:rPr>
          <w:rFonts w:ascii="Arial" w:hAnsi="Arial" w:cs="Arial"/>
          <w:b/>
          <w:bCs/>
          <w:sz w:val="24"/>
          <w:szCs w:val="24"/>
        </w:rPr>
      </w:pPr>
      <w:r w:rsidRPr="00C22C2F">
        <w:rPr>
          <w:rFonts w:ascii="Arial" w:hAnsi="Arial" w:cs="Arial"/>
          <w:b/>
          <w:bCs/>
          <w:sz w:val="24"/>
          <w:szCs w:val="24"/>
        </w:rPr>
        <w:t xml:space="preserve">Will there be a choice of </w:t>
      </w:r>
      <w:r w:rsidR="00C22C2F">
        <w:rPr>
          <w:rFonts w:ascii="Arial" w:hAnsi="Arial" w:cs="Arial"/>
          <w:b/>
          <w:bCs/>
          <w:sz w:val="24"/>
          <w:szCs w:val="24"/>
        </w:rPr>
        <w:t>care</w:t>
      </w:r>
      <w:r w:rsidRPr="00C22C2F">
        <w:rPr>
          <w:rFonts w:ascii="Arial" w:hAnsi="Arial" w:cs="Arial"/>
          <w:b/>
          <w:bCs/>
          <w:sz w:val="24"/>
          <w:szCs w:val="24"/>
        </w:rPr>
        <w:t xml:space="preserve"> homes should my relative be required to move because of refurbishment or closure?</w:t>
      </w:r>
      <w:r w:rsidRPr="00C22C2F">
        <w:rPr>
          <w:rFonts w:ascii="Arial" w:hAnsi="Arial" w:cs="Arial"/>
          <w:sz w:val="24"/>
          <w:szCs w:val="24"/>
        </w:rPr>
        <w:t xml:space="preserve">  Yes.  The council is obliged to follow the Department of Health’s Care and Support Statutory Guidance which is issued under the Care Act 2014</w:t>
      </w:r>
      <w:r w:rsidR="00C22C2F" w:rsidRPr="00C22C2F">
        <w:rPr>
          <w:rFonts w:ascii="Arial" w:hAnsi="Arial" w:cs="Arial"/>
          <w:sz w:val="24"/>
          <w:szCs w:val="24"/>
        </w:rPr>
        <w:t xml:space="preserve"> </w:t>
      </w:r>
      <w:r w:rsidR="00C22C2F" w:rsidRPr="00C22C2F">
        <w:rPr>
          <w:rFonts w:ascii="Arial" w:hAnsi="Arial" w:cs="Arial"/>
          <w:sz w:val="16"/>
          <w:szCs w:val="16"/>
        </w:rPr>
        <w:t>(1)</w:t>
      </w:r>
      <w:r w:rsidRPr="00C22C2F">
        <w:rPr>
          <w:rFonts w:ascii="Arial" w:hAnsi="Arial" w:cs="Arial"/>
          <w:sz w:val="24"/>
          <w:szCs w:val="24"/>
        </w:rPr>
        <w:t xml:space="preserve">.  </w:t>
      </w:r>
      <w:r w:rsidR="00C22C2F">
        <w:rPr>
          <w:rFonts w:ascii="Arial" w:hAnsi="Arial" w:cs="Arial"/>
          <w:sz w:val="24"/>
          <w:szCs w:val="24"/>
        </w:rPr>
        <w:t>Should residents need to move, a</w:t>
      </w:r>
      <w:r w:rsidRPr="00C22C2F">
        <w:rPr>
          <w:rFonts w:ascii="Arial" w:hAnsi="Arial" w:cs="Arial"/>
          <w:sz w:val="24"/>
          <w:szCs w:val="24"/>
        </w:rPr>
        <w:t xml:space="preserve">n individual’s needs will be </w:t>
      </w:r>
      <w:r w:rsidR="00C22C2F" w:rsidRPr="00C22C2F">
        <w:rPr>
          <w:rFonts w:ascii="Arial" w:hAnsi="Arial" w:cs="Arial"/>
          <w:sz w:val="24"/>
          <w:szCs w:val="24"/>
        </w:rPr>
        <w:t>assessed</w:t>
      </w:r>
      <w:r w:rsidR="0032757D">
        <w:rPr>
          <w:rFonts w:ascii="Arial" w:hAnsi="Arial" w:cs="Arial"/>
          <w:sz w:val="24"/>
          <w:szCs w:val="24"/>
        </w:rPr>
        <w:t xml:space="preserve"> to identify </w:t>
      </w:r>
      <w:r w:rsidRPr="00C22C2F">
        <w:rPr>
          <w:rFonts w:ascii="Arial" w:hAnsi="Arial" w:cs="Arial"/>
          <w:sz w:val="24"/>
          <w:szCs w:val="24"/>
        </w:rPr>
        <w:t xml:space="preserve">the care </w:t>
      </w:r>
      <w:r w:rsidR="0032757D">
        <w:rPr>
          <w:rFonts w:ascii="Arial" w:hAnsi="Arial" w:cs="Arial"/>
          <w:sz w:val="24"/>
          <w:szCs w:val="24"/>
        </w:rPr>
        <w:t>that will meet assessed needs</w:t>
      </w:r>
      <w:r w:rsidR="00C22C2F" w:rsidRPr="00C22C2F">
        <w:rPr>
          <w:rFonts w:ascii="Arial" w:hAnsi="Arial" w:cs="Arial"/>
          <w:sz w:val="24"/>
          <w:szCs w:val="24"/>
        </w:rPr>
        <w:t>.  Surrey County Council will then offer at least two options to the individual</w:t>
      </w:r>
      <w:r w:rsidR="00DD1349">
        <w:rPr>
          <w:rFonts w:ascii="Arial" w:hAnsi="Arial" w:cs="Arial"/>
          <w:sz w:val="24"/>
          <w:szCs w:val="24"/>
        </w:rPr>
        <w:t xml:space="preserve"> that meets the individual’s needs </w:t>
      </w:r>
      <w:r w:rsidR="00C22C2F" w:rsidRPr="00C22C2F">
        <w:rPr>
          <w:rFonts w:ascii="Arial" w:hAnsi="Arial" w:cs="Arial"/>
          <w:sz w:val="24"/>
          <w:szCs w:val="24"/>
        </w:rPr>
        <w:t>(unless there is only one option available that can meet a person’s specialist or complex needs).</w:t>
      </w:r>
    </w:p>
    <w:p w14:paraId="6ED6F2EE" w14:textId="77777777" w:rsidR="006E0065" w:rsidRPr="00C22C2F" w:rsidRDefault="006E0065" w:rsidP="006E0065">
      <w:pPr>
        <w:pStyle w:val="ListParagraph"/>
        <w:rPr>
          <w:rFonts w:ascii="Arial" w:hAnsi="Arial" w:cs="Arial"/>
          <w:b/>
          <w:bCs/>
          <w:sz w:val="24"/>
          <w:szCs w:val="24"/>
        </w:rPr>
      </w:pPr>
    </w:p>
    <w:p w14:paraId="7AC9FEA4" w14:textId="1661FF91" w:rsidR="002C1751" w:rsidRPr="00C22C2F" w:rsidRDefault="00C22C2F" w:rsidP="00C22C2F">
      <w:pPr>
        <w:pStyle w:val="ListParagraph"/>
        <w:numPr>
          <w:ilvl w:val="0"/>
          <w:numId w:val="17"/>
        </w:numPr>
        <w:rPr>
          <w:rFonts w:ascii="Arial" w:hAnsi="Arial" w:cs="Arial"/>
          <w:sz w:val="18"/>
          <w:szCs w:val="18"/>
        </w:rPr>
      </w:pPr>
      <w:r w:rsidRPr="00C22C2F">
        <w:rPr>
          <w:rFonts w:ascii="Arial" w:hAnsi="Arial" w:cs="Arial"/>
          <w:sz w:val="18"/>
          <w:szCs w:val="18"/>
        </w:rPr>
        <w:t xml:space="preserve">Department of Health’s Care and Support Statutory Guidance Annex A: Choice of accommodation and additional payments </w:t>
      </w:r>
      <w:hyperlink r:id="rId10" w:history="1">
        <w:r w:rsidR="00360349" w:rsidRPr="00C22C2F">
          <w:rPr>
            <w:rFonts w:ascii="Arial" w:hAnsi="Arial" w:cs="Arial"/>
            <w:color w:val="0000FF"/>
            <w:sz w:val="18"/>
            <w:szCs w:val="18"/>
            <w:u w:val="single"/>
          </w:rPr>
          <w:t>40573_2902364_DH Care Guidance accessible pdf (publishing.service.gov.uk)</w:t>
        </w:r>
      </w:hyperlink>
      <w:r w:rsidR="00360349" w:rsidRPr="00C22C2F">
        <w:rPr>
          <w:rFonts w:ascii="Arial" w:hAnsi="Arial" w:cs="Arial"/>
          <w:sz w:val="18"/>
          <w:szCs w:val="18"/>
        </w:rPr>
        <w:t xml:space="preserve"> </w:t>
      </w:r>
    </w:p>
    <w:p w14:paraId="64B402EB" w14:textId="68E0E655" w:rsidR="002C1751" w:rsidRDefault="002C1751" w:rsidP="002C1751">
      <w:pPr>
        <w:spacing w:after="160" w:line="259" w:lineRule="auto"/>
        <w:ind w:left="720"/>
        <w:contextualSpacing/>
        <w:rPr>
          <w:color w:val="FF0000"/>
        </w:rPr>
      </w:pPr>
    </w:p>
    <w:p w14:paraId="16F1397A" w14:textId="77777777" w:rsidR="002C1751" w:rsidRPr="002C1751" w:rsidRDefault="002C1751" w:rsidP="002C1751">
      <w:pPr>
        <w:spacing w:after="160" w:line="259" w:lineRule="auto"/>
        <w:ind w:left="720"/>
        <w:contextualSpacing/>
        <w:rPr>
          <w:color w:val="FF0000"/>
        </w:rPr>
      </w:pPr>
    </w:p>
    <w:p w14:paraId="7F455363" w14:textId="129F5C9E" w:rsidR="002C1751" w:rsidRPr="002C1751" w:rsidRDefault="002C1751" w:rsidP="002C1751">
      <w:pPr>
        <w:rPr>
          <w:rFonts w:ascii="Arial" w:hAnsi="Arial" w:cs="Arial"/>
          <w:sz w:val="24"/>
          <w:szCs w:val="24"/>
        </w:rPr>
      </w:pPr>
    </w:p>
    <w:p w14:paraId="5C86A8C2" w14:textId="5D7FAAA5" w:rsidR="002939BD" w:rsidRDefault="002939BD">
      <w:pPr>
        <w:rPr>
          <w:rFonts w:ascii="Arial" w:eastAsiaTheme="majorEastAsia" w:hAnsi="Arial" w:cs="Arial"/>
          <w:b/>
          <w:bCs/>
          <w:sz w:val="24"/>
          <w:szCs w:val="24"/>
        </w:rPr>
      </w:pPr>
    </w:p>
    <w:sectPr w:rsidR="002939BD" w:rsidSect="005C1BAC">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485D8" w14:textId="77777777" w:rsidR="00EB1756" w:rsidRDefault="00EB1756" w:rsidP="00EB1756">
      <w:r>
        <w:separator/>
      </w:r>
    </w:p>
  </w:endnote>
  <w:endnote w:type="continuationSeparator" w:id="0">
    <w:p w14:paraId="55DA5B86" w14:textId="77777777" w:rsidR="00EB1756" w:rsidRDefault="00EB1756" w:rsidP="00EB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773067"/>
      <w:docPartObj>
        <w:docPartGallery w:val="Page Numbers (Bottom of Page)"/>
        <w:docPartUnique/>
      </w:docPartObj>
    </w:sdtPr>
    <w:sdtEndPr>
      <w:rPr>
        <w:noProof/>
      </w:rPr>
    </w:sdtEndPr>
    <w:sdtContent>
      <w:p w14:paraId="4CA1A2B0" w14:textId="290F0335" w:rsidR="005C1BAC" w:rsidRDefault="005C1B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309A6F" w14:textId="77777777" w:rsidR="005C1BAC" w:rsidRDefault="005C1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503002"/>
      <w:docPartObj>
        <w:docPartGallery w:val="Page Numbers (Bottom of Page)"/>
        <w:docPartUnique/>
      </w:docPartObj>
    </w:sdtPr>
    <w:sdtEndPr>
      <w:rPr>
        <w:noProof/>
      </w:rPr>
    </w:sdtEndPr>
    <w:sdtContent>
      <w:p w14:paraId="7238A502" w14:textId="024A3437" w:rsidR="005C1BAC" w:rsidRDefault="005C1B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AAE5A3" w14:textId="77777777" w:rsidR="005C1BAC" w:rsidRDefault="005C1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8C0E0" w14:textId="77777777" w:rsidR="00EB1756" w:rsidRDefault="00EB1756" w:rsidP="00EB1756">
      <w:r>
        <w:separator/>
      </w:r>
    </w:p>
  </w:footnote>
  <w:footnote w:type="continuationSeparator" w:id="0">
    <w:p w14:paraId="7F87BAB7" w14:textId="77777777" w:rsidR="00EB1756" w:rsidRDefault="00EB1756" w:rsidP="00EB1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1276E" w14:textId="451A6856" w:rsidR="00EB1756" w:rsidRDefault="002939BD" w:rsidP="00EB1756">
    <w:pPr>
      <w:pStyle w:val="Header"/>
      <w:rPr>
        <w:rFonts w:ascii="Arial" w:hAnsi="Arial" w:cs="Arial"/>
        <w:b/>
        <w:bCs/>
        <w:sz w:val="24"/>
        <w:szCs w:val="24"/>
      </w:rPr>
    </w:pPr>
    <w:r w:rsidRPr="00EB1756">
      <w:rPr>
        <w:rFonts w:asciiTheme="majorHAnsi" w:eastAsiaTheme="majorEastAsia" w:hAnsiTheme="majorHAnsi" w:cstheme="majorBidi"/>
        <w:noProof/>
        <w:color w:val="2F5496" w:themeColor="accent1" w:themeShade="BF"/>
        <w:sz w:val="32"/>
        <w:szCs w:val="32"/>
        <w:lang w:eastAsia="en-GB"/>
      </w:rPr>
      <w:drawing>
        <wp:anchor distT="0" distB="0" distL="114300" distR="114300" simplePos="0" relativeHeight="251659264" behindDoc="1" locked="0" layoutInCell="1" allowOverlap="1" wp14:anchorId="691562F2" wp14:editId="293400FF">
          <wp:simplePos x="0" y="0"/>
          <wp:positionH relativeFrom="column">
            <wp:posOffset>5524500</wp:posOffset>
          </wp:positionH>
          <wp:positionV relativeFrom="paragraph">
            <wp:posOffset>-297180</wp:posOffset>
          </wp:positionV>
          <wp:extent cx="838200" cy="755441"/>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838200" cy="755441"/>
                  </a:xfrm>
                  <a:prstGeom prst="rect">
                    <a:avLst/>
                  </a:prstGeom>
                </pic:spPr>
              </pic:pic>
            </a:graphicData>
          </a:graphic>
          <wp14:sizeRelH relativeFrom="page">
            <wp14:pctWidth>0</wp14:pctWidth>
          </wp14:sizeRelH>
          <wp14:sizeRelV relativeFrom="page">
            <wp14:pctHeight>0</wp14:pctHeight>
          </wp14:sizeRelV>
        </wp:anchor>
      </w:drawing>
    </w:r>
    <w:r w:rsidR="00EB1756">
      <w:rPr>
        <w:rFonts w:ascii="Arial" w:hAnsi="Arial" w:cs="Arial"/>
        <w:b/>
        <w:bCs/>
        <w:sz w:val="24"/>
        <w:szCs w:val="24"/>
      </w:rPr>
      <w:t xml:space="preserve">The Consultation on </w:t>
    </w:r>
    <w:r w:rsidR="00EB1756" w:rsidRPr="00C1621C">
      <w:rPr>
        <w:rFonts w:ascii="Arial" w:hAnsi="Arial" w:cs="Arial"/>
        <w:b/>
        <w:bCs/>
        <w:sz w:val="24"/>
        <w:szCs w:val="24"/>
      </w:rPr>
      <w:t xml:space="preserve">The Future of the Eight Older People’s Residential </w:t>
    </w:r>
  </w:p>
  <w:p w14:paraId="33D28BE4" w14:textId="77777777" w:rsidR="00EB1756" w:rsidRDefault="00EB1756" w:rsidP="00EB1756">
    <w:pPr>
      <w:pStyle w:val="Header"/>
    </w:pPr>
    <w:r w:rsidRPr="00C1621C">
      <w:rPr>
        <w:rFonts w:ascii="Arial" w:hAnsi="Arial" w:cs="Arial"/>
        <w:b/>
        <w:bCs/>
        <w:sz w:val="24"/>
        <w:szCs w:val="24"/>
      </w:rPr>
      <w:t>Care Homes Run by Surrey County Council</w:t>
    </w:r>
    <w:r>
      <w:ptab w:relativeTo="margin" w:alignment="right" w:leader="none"/>
    </w:r>
  </w:p>
  <w:p w14:paraId="61451025" w14:textId="77777777" w:rsidR="00EB1756" w:rsidRDefault="00EB1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1FC9"/>
    <w:multiLevelType w:val="hybridMultilevel"/>
    <w:tmpl w:val="3B48AC54"/>
    <w:lvl w:ilvl="0" w:tplc="0480FE88">
      <w:start w:val="40"/>
      <w:numFmt w:val="decimal"/>
      <w:lvlText w:val="%1."/>
      <w:lvlJc w:val="left"/>
      <w:pPr>
        <w:ind w:left="720" w:hanging="360"/>
      </w:pPr>
      <w:rPr>
        <w:rFonts w:ascii="Calibri" w:eastAsia="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C50BB7"/>
    <w:multiLevelType w:val="hybridMultilevel"/>
    <w:tmpl w:val="6B74C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71CBB"/>
    <w:multiLevelType w:val="multilevel"/>
    <w:tmpl w:val="F45C3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0F3F1F"/>
    <w:multiLevelType w:val="hybridMultilevel"/>
    <w:tmpl w:val="29FE821E"/>
    <w:lvl w:ilvl="0" w:tplc="2B6AC514">
      <w:start w:val="1"/>
      <w:numFmt w:val="decimal"/>
      <w:lvlText w:val="%1."/>
      <w:lvlJc w:val="left"/>
      <w:pPr>
        <w:ind w:left="720" w:hanging="360"/>
      </w:pPr>
      <w:rPr>
        <w:rFonts w:eastAsiaTheme="minorHAns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749D3"/>
    <w:multiLevelType w:val="hybridMultilevel"/>
    <w:tmpl w:val="DED4E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5B77E7"/>
    <w:multiLevelType w:val="hybridMultilevel"/>
    <w:tmpl w:val="8BCA5402"/>
    <w:lvl w:ilvl="0" w:tplc="DD72E5F4">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6" w15:restartNumberingAfterBreak="0">
    <w:nsid w:val="38640F2D"/>
    <w:multiLevelType w:val="hybridMultilevel"/>
    <w:tmpl w:val="25405B78"/>
    <w:lvl w:ilvl="0" w:tplc="0809000F">
      <w:start w:val="1"/>
      <w:numFmt w:val="decimal"/>
      <w:lvlText w:val="%1."/>
      <w:lvlJc w:val="left"/>
      <w:pPr>
        <w:ind w:left="785"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D52DCB"/>
    <w:multiLevelType w:val="hybridMultilevel"/>
    <w:tmpl w:val="F98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D50EDF"/>
    <w:multiLevelType w:val="hybridMultilevel"/>
    <w:tmpl w:val="7900852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6C0C6922"/>
    <w:multiLevelType w:val="hybridMultilevel"/>
    <w:tmpl w:val="BF804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5DB1393"/>
    <w:multiLevelType w:val="hybridMultilevel"/>
    <w:tmpl w:val="48AEC8E2"/>
    <w:lvl w:ilvl="0" w:tplc="DAD47B7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7751C44"/>
    <w:multiLevelType w:val="hybridMultilevel"/>
    <w:tmpl w:val="E5B021D8"/>
    <w:lvl w:ilvl="0" w:tplc="B366EE60">
      <w:start w:val="1"/>
      <w:numFmt w:val="decimal"/>
      <w:lvlText w:val="(%1)"/>
      <w:lvlJc w:val="left"/>
      <w:pPr>
        <w:ind w:left="1080" w:hanging="360"/>
      </w:pPr>
      <w:rPr>
        <w:rFonts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B1B7F67"/>
    <w:multiLevelType w:val="hybridMultilevel"/>
    <w:tmpl w:val="8B5E18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C4480C"/>
    <w:multiLevelType w:val="hybridMultilevel"/>
    <w:tmpl w:val="762CE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7"/>
  </w:num>
  <w:num w:numId="6">
    <w:abstractNumId w:val="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13"/>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56"/>
    <w:rsid w:val="00015129"/>
    <w:rsid w:val="00056C47"/>
    <w:rsid w:val="00076ECE"/>
    <w:rsid w:val="000A5C1B"/>
    <w:rsid w:val="001057E9"/>
    <w:rsid w:val="0011070B"/>
    <w:rsid w:val="00125D63"/>
    <w:rsid w:val="00131733"/>
    <w:rsid w:val="001531CD"/>
    <w:rsid w:val="002106E5"/>
    <w:rsid w:val="002838E6"/>
    <w:rsid w:val="002939BD"/>
    <w:rsid w:val="002C1751"/>
    <w:rsid w:val="002C3001"/>
    <w:rsid w:val="002D1F33"/>
    <w:rsid w:val="0032757D"/>
    <w:rsid w:val="00360349"/>
    <w:rsid w:val="00373BFC"/>
    <w:rsid w:val="00386C1F"/>
    <w:rsid w:val="00391A48"/>
    <w:rsid w:val="00395C85"/>
    <w:rsid w:val="003E743A"/>
    <w:rsid w:val="00413906"/>
    <w:rsid w:val="00495D90"/>
    <w:rsid w:val="004C1012"/>
    <w:rsid w:val="004E0D56"/>
    <w:rsid w:val="00506A41"/>
    <w:rsid w:val="00563CB4"/>
    <w:rsid w:val="005B2ED2"/>
    <w:rsid w:val="005C1BAC"/>
    <w:rsid w:val="005F0409"/>
    <w:rsid w:val="005F2599"/>
    <w:rsid w:val="005F551D"/>
    <w:rsid w:val="00635FC9"/>
    <w:rsid w:val="006E0065"/>
    <w:rsid w:val="00703D36"/>
    <w:rsid w:val="0073553B"/>
    <w:rsid w:val="007507C8"/>
    <w:rsid w:val="0088619A"/>
    <w:rsid w:val="009005EC"/>
    <w:rsid w:val="00A143B0"/>
    <w:rsid w:val="00AC7182"/>
    <w:rsid w:val="00B1062C"/>
    <w:rsid w:val="00B71979"/>
    <w:rsid w:val="00BC1CC5"/>
    <w:rsid w:val="00BF5FA8"/>
    <w:rsid w:val="00C22C2F"/>
    <w:rsid w:val="00C74A20"/>
    <w:rsid w:val="00CB2892"/>
    <w:rsid w:val="00CD6687"/>
    <w:rsid w:val="00D16C4D"/>
    <w:rsid w:val="00D2424E"/>
    <w:rsid w:val="00D35BCE"/>
    <w:rsid w:val="00D5220D"/>
    <w:rsid w:val="00DC2239"/>
    <w:rsid w:val="00DD1349"/>
    <w:rsid w:val="00DF0144"/>
    <w:rsid w:val="00E67114"/>
    <w:rsid w:val="00EB1756"/>
    <w:rsid w:val="00EC18D1"/>
    <w:rsid w:val="00EE601A"/>
    <w:rsid w:val="00EF6A5B"/>
    <w:rsid w:val="00EF7CC4"/>
    <w:rsid w:val="00F77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166D6"/>
  <w15:chartTrackingRefBased/>
  <w15:docId w15:val="{B5EAABE2-0105-415D-B7E6-6514EAC4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756"/>
    <w:pPr>
      <w:tabs>
        <w:tab w:val="center" w:pos="4513"/>
        <w:tab w:val="right" w:pos="9026"/>
      </w:tabs>
    </w:pPr>
  </w:style>
  <w:style w:type="character" w:customStyle="1" w:styleId="HeaderChar">
    <w:name w:val="Header Char"/>
    <w:basedOn w:val="DefaultParagraphFont"/>
    <w:link w:val="Header"/>
    <w:uiPriority w:val="99"/>
    <w:rsid w:val="00EB1756"/>
  </w:style>
  <w:style w:type="paragraph" w:styleId="Footer">
    <w:name w:val="footer"/>
    <w:basedOn w:val="Normal"/>
    <w:link w:val="FooterChar"/>
    <w:uiPriority w:val="99"/>
    <w:unhideWhenUsed/>
    <w:rsid w:val="00EB1756"/>
    <w:pPr>
      <w:tabs>
        <w:tab w:val="center" w:pos="4513"/>
        <w:tab w:val="right" w:pos="9026"/>
      </w:tabs>
    </w:pPr>
  </w:style>
  <w:style w:type="character" w:customStyle="1" w:styleId="FooterChar">
    <w:name w:val="Footer Char"/>
    <w:basedOn w:val="DefaultParagraphFont"/>
    <w:link w:val="Footer"/>
    <w:uiPriority w:val="99"/>
    <w:rsid w:val="00EB1756"/>
  </w:style>
  <w:style w:type="paragraph" w:customStyle="1" w:styleId="paragraph">
    <w:name w:val="paragraph"/>
    <w:basedOn w:val="Normal"/>
    <w:rsid w:val="00EB175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1756"/>
  </w:style>
  <w:style w:type="character" w:styleId="Hyperlink">
    <w:name w:val="Hyperlink"/>
    <w:basedOn w:val="DefaultParagraphFont"/>
    <w:uiPriority w:val="99"/>
    <w:unhideWhenUsed/>
    <w:rsid w:val="00EB1756"/>
    <w:rPr>
      <w:color w:val="0000FF"/>
      <w:u w:val="single"/>
    </w:rPr>
  </w:style>
  <w:style w:type="paragraph" w:styleId="ListParagraph">
    <w:name w:val="List Paragraph"/>
    <w:basedOn w:val="Normal"/>
    <w:uiPriority w:val="34"/>
    <w:qFormat/>
    <w:rsid w:val="00EB1756"/>
    <w:pPr>
      <w:spacing w:after="160" w:line="259" w:lineRule="auto"/>
      <w:ind w:left="720"/>
      <w:contextualSpacing/>
    </w:pPr>
  </w:style>
  <w:style w:type="character" w:customStyle="1" w:styleId="eop">
    <w:name w:val="eop"/>
    <w:basedOn w:val="DefaultParagraphFont"/>
    <w:rsid w:val="00EB1756"/>
  </w:style>
  <w:style w:type="character" w:styleId="UnresolvedMention">
    <w:name w:val="Unresolved Mention"/>
    <w:basedOn w:val="DefaultParagraphFont"/>
    <w:uiPriority w:val="99"/>
    <w:semiHidden/>
    <w:unhideWhenUsed/>
    <w:rsid w:val="00395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5241">
      <w:bodyDiv w:val="1"/>
      <w:marLeft w:val="0"/>
      <w:marRight w:val="0"/>
      <w:marTop w:val="0"/>
      <w:marBottom w:val="0"/>
      <w:divBdr>
        <w:top w:val="none" w:sz="0" w:space="0" w:color="auto"/>
        <w:left w:val="none" w:sz="0" w:space="0" w:color="auto"/>
        <w:bottom w:val="none" w:sz="0" w:space="0" w:color="auto"/>
        <w:right w:val="none" w:sz="0" w:space="0" w:color="auto"/>
      </w:divBdr>
    </w:div>
    <w:div w:id="637033717">
      <w:bodyDiv w:val="1"/>
      <w:marLeft w:val="0"/>
      <w:marRight w:val="0"/>
      <w:marTop w:val="0"/>
      <w:marBottom w:val="0"/>
      <w:divBdr>
        <w:top w:val="none" w:sz="0" w:space="0" w:color="auto"/>
        <w:left w:val="none" w:sz="0" w:space="0" w:color="auto"/>
        <w:bottom w:val="none" w:sz="0" w:space="0" w:color="auto"/>
        <w:right w:val="none" w:sz="0" w:space="0" w:color="auto"/>
      </w:divBdr>
    </w:div>
    <w:div w:id="943852917">
      <w:bodyDiv w:val="1"/>
      <w:marLeft w:val="0"/>
      <w:marRight w:val="0"/>
      <w:marTop w:val="0"/>
      <w:marBottom w:val="0"/>
      <w:divBdr>
        <w:top w:val="none" w:sz="0" w:space="0" w:color="auto"/>
        <w:left w:val="none" w:sz="0" w:space="0" w:color="auto"/>
        <w:bottom w:val="none" w:sz="0" w:space="0" w:color="auto"/>
        <w:right w:val="none" w:sz="0" w:space="0" w:color="auto"/>
      </w:divBdr>
    </w:div>
    <w:div w:id="1079593929">
      <w:bodyDiv w:val="1"/>
      <w:marLeft w:val="0"/>
      <w:marRight w:val="0"/>
      <w:marTop w:val="0"/>
      <w:marBottom w:val="0"/>
      <w:divBdr>
        <w:top w:val="none" w:sz="0" w:space="0" w:color="auto"/>
        <w:left w:val="none" w:sz="0" w:space="0" w:color="auto"/>
        <w:bottom w:val="none" w:sz="0" w:space="0" w:color="auto"/>
        <w:right w:val="none" w:sz="0" w:space="0" w:color="auto"/>
      </w:divBdr>
    </w:div>
    <w:div w:id="1145590329">
      <w:bodyDiv w:val="1"/>
      <w:marLeft w:val="0"/>
      <w:marRight w:val="0"/>
      <w:marTop w:val="0"/>
      <w:marBottom w:val="0"/>
      <w:divBdr>
        <w:top w:val="none" w:sz="0" w:space="0" w:color="auto"/>
        <w:left w:val="none" w:sz="0" w:space="0" w:color="auto"/>
        <w:bottom w:val="none" w:sz="0" w:space="0" w:color="auto"/>
        <w:right w:val="none" w:sz="0" w:space="0" w:color="auto"/>
      </w:divBdr>
    </w:div>
    <w:div w:id="1410032889">
      <w:bodyDiv w:val="1"/>
      <w:marLeft w:val="0"/>
      <w:marRight w:val="0"/>
      <w:marTop w:val="0"/>
      <w:marBottom w:val="0"/>
      <w:divBdr>
        <w:top w:val="none" w:sz="0" w:space="0" w:color="auto"/>
        <w:left w:val="none" w:sz="0" w:space="0" w:color="auto"/>
        <w:bottom w:val="none" w:sz="0" w:space="0" w:color="auto"/>
        <w:right w:val="none" w:sz="0" w:space="0" w:color="auto"/>
      </w:divBdr>
    </w:div>
    <w:div w:id="1937131017">
      <w:bodyDiv w:val="1"/>
      <w:marLeft w:val="0"/>
      <w:marRight w:val="0"/>
      <w:marTop w:val="0"/>
      <w:marBottom w:val="0"/>
      <w:divBdr>
        <w:top w:val="none" w:sz="0" w:space="0" w:color="auto"/>
        <w:left w:val="none" w:sz="0" w:space="0" w:color="auto"/>
        <w:bottom w:val="none" w:sz="0" w:space="0" w:color="auto"/>
        <w:right w:val="none" w:sz="0" w:space="0" w:color="auto"/>
      </w:divBdr>
    </w:div>
    <w:div w:id="1995789406">
      <w:bodyDiv w:val="1"/>
      <w:marLeft w:val="0"/>
      <w:marRight w:val="0"/>
      <w:marTop w:val="0"/>
      <w:marBottom w:val="0"/>
      <w:divBdr>
        <w:top w:val="none" w:sz="0" w:space="0" w:color="auto"/>
        <w:left w:val="none" w:sz="0" w:space="0" w:color="auto"/>
        <w:bottom w:val="none" w:sz="0" w:space="0" w:color="auto"/>
        <w:right w:val="none" w:sz="0" w:space="0" w:color="auto"/>
      </w:divBdr>
    </w:div>
    <w:div w:id="20058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i.gov.uk/jsna/surrey-contex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ns.gov.uk/peoplepopulationandcommunity/birthsdeathsandmarriages/ageing/articles/changesintheolderresidentcarehomepopulationbetween2001and2011/2014-08-0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315993/Care-Act-Guidance.pdf" TargetMode="External"/><Relationship Id="rId4" Type="http://schemas.openxmlformats.org/officeDocument/2006/relationships/webSettings" Target="webSettings.xml"/><Relationship Id="rId9" Type="http://schemas.openxmlformats.org/officeDocument/2006/relationships/hyperlink" Target="https://www.cqc.org.uk/about-us/transparency/using-cqc-dat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Raper</dc:creator>
  <cp:keywords/>
  <dc:description/>
  <cp:lastModifiedBy>Caroline Raper</cp:lastModifiedBy>
  <cp:revision>2</cp:revision>
  <cp:lastPrinted>2021-12-17T13:11:00Z</cp:lastPrinted>
  <dcterms:created xsi:type="dcterms:W3CDTF">2022-01-25T09:34:00Z</dcterms:created>
  <dcterms:modified xsi:type="dcterms:W3CDTF">2022-01-25T09:34:00Z</dcterms:modified>
</cp:coreProperties>
</file>