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784F62" w:rsidP="00A040F2">
      <w:r>
        <w:rPr>
          <w:noProof/>
          <w:lang w:eastAsia="en-GB"/>
        </w:rPr>
        <w:pict>
          <v:shape id="_x0000_s1036" style="position:absolute;margin-left:-38.45pt;margin-top:-38.15pt;width:639.65pt;height:854.25pt;z-index:251657727" coordsize="842,1123" path="m224,1123hdc796,1123,796,1123,796,1123,796,91,796,91,796,91v-48,8,-98,16,-156,33c552,150,396,218,441,364v50,162,301,15,337,158c842,779,339,686,247,932v-23,62,-30,127,-23,191m227,c143,,143,,143,,84,108,38,214,2,314v,809,,809,,809c53,1123,53,1123,53,1123,,781,52,407,227,e" fillcolor="#4f81bd [3204]" strokecolor="#f2f2f2 [3041]" strokeweight="3pt">
            <v:shadow on="t" type="perspective" color="#243f60 [1604]" opacity=".5" offset="1pt" offset2="-1pt"/>
            <v:path arrowok="t"/>
            <o:lock v:ext="edit" verticies="t"/>
          </v:shape>
        </w:pic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print"/>
                    <a:stretch>
                      <a:fillRect/>
                    </a:stretch>
                  </pic:blipFill>
                  <pic:spPr>
                    <a:xfrm>
                      <a:off x="0" y="0"/>
                      <a:ext cx="1011555" cy="955675"/>
                    </a:xfrm>
                    <a:prstGeom prst="rect">
                      <a:avLst/>
                    </a:prstGeom>
                  </pic:spPr>
                </pic:pic>
              </a:graphicData>
            </a:graphic>
          </wp:anchor>
        </w:drawing>
      </w:r>
    </w:p>
    <w:p w:rsidR="00A60B12" w:rsidRDefault="00784F62" w:rsidP="004D69CA">
      <w:pPr>
        <w:ind w:left="1440" w:firstLine="720"/>
        <w:sectPr w:rsidR="00A60B12" w:rsidSect="0028671A">
          <w:pgSz w:w="11906" w:h="16838"/>
          <w:pgMar w:top="568" w:right="566" w:bottom="709" w:left="709" w:header="284" w:footer="708" w:gutter="0"/>
          <w:cols w:space="708"/>
          <w:docGrid w:linePitch="360"/>
        </w:sectPr>
      </w:pPr>
      <w:r w:rsidRPr="00784F62">
        <w:rPr>
          <w:noProof/>
          <w:lang w:val="en-US" w:eastAsia="zh-TW"/>
        </w:rPr>
        <w:pict>
          <v:shapetype id="_x0000_t202" coordsize="21600,21600" o:spt="202" path="m,l,21600r21600,l21600,xe">
            <v:stroke joinstyle="miter"/>
            <v:path gradientshapeok="t" o:connecttype="rect"/>
          </v:shapetype>
          <v:shape id="_x0000_s1031" type="#_x0000_t202" style="position:absolute;left:0;text-align:left;margin-left:21.55pt;margin-top:278.8pt;width:404.25pt;height:294pt;z-index:251660800;mso-position-horizontal-relative:text;mso-position-vertical-relative:text;mso-width-relative:margin;mso-height-relative:margin" filled="f" stroked="f">
            <v:textbox style="mso-next-textbox:#_x0000_s1031">
              <w:txbxContent>
                <w:p w:rsidR="00B874DB" w:rsidRPr="008F75DF" w:rsidRDefault="00B874DB" w:rsidP="0028671A">
                  <w:pPr>
                    <w:rPr>
                      <w:rFonts w:cs="Arial"/>
                      <w:sz w:val="80"/>
                      <w:szCs w:val="80"/>
                    </w:rPr>
                  </w:pPr>
                  <w:r w:rsidRPr="008F75DF">
                    <w:rPr>
                      <w:rFonts w:cs="Arial"/>
                      <w:sz w:val="80"/>
                      <w:szCs w:val="80"/>
                    </w:rPr>
                    <w:t>School Organisation Consultation</w:t>
                  </w:r>
                  <w:r>
                    <w:rPr>
                      <w:rFonts w:cs="Arial"/>
                      <w:sz w:val="80"/>
                      <w:szCs w:val="80"/>
                    </w:rPr>
                    <w:t xml:space="preserve"> (Representation)</w:t>
                  </w:r>
                </w:p>
                <w:p w:rsidR="00B874DB" w:rsidRPr="008F75DF" w:rsidRDefault="00B874DB" w:rsidP="00355C2A">
                  <w:pPr>
                    <w:rPr>
                      <w:rFonts w:cs="Arial"/>
                      <w:b/>
                      <w:sz w:val="48"/>
                      <w:szCs w:val="48"/>
                    </w:rPr>
                  </w:pPr>
                </w:p>
                <w:p w:rsidR="00B874DB" w:rsidRPr="00467CE9" w:rsidRDefault="00B874DB" w:rsidP="00355C2A">
                  <w:pPr>
                    <w:rPr>
                      <w:rFonts w:cs="Arial"/>
                      <w:b/>
                      <w:sz w:val="48"/>
                      <w:szCs w:val="48"/>
                    </w:rPr>
                  </w:pPr>
                  <w:r>
                    <w:rPr>
                      <w:rFonts w:cs="Arial"/>
                      <w:b/>
                      <w:sz w:val="48"/>
                      <w:szCs w:val="48"/>
                    </w:rPr>
                    <w:t>Proposal to amalgamate Downs Way School and St. Mary’s C of E Junior School</w:t>
                  </w:r>
                </w:p>
              </w:txbxContent>
            </v:textbox>
          </v:shape>
        </w:pict>
      </w:r>
      <w:r w:rsidR="00145590">
        <w:rPr>
          <w:noProof/>
          <w:lang w:eastAsia="en-GB"/>
        </w:rPr>
        <w:drawing>
          <wp:anchor distT="0" distB="0" distL="114300" distR="114300" simplePos="0" relativeHeight="251662848" behindDoc="0" locked="0" layoutInCell="1" allowOverlap="1">
            <wp:simplePos x="0" y="0"/>
            <wp:positionH relativeFrom="column">
              <wp:posOffset>4712335</wp:posOffset>
            </wp:positionH>
            <wp:positionV relativeFrom="paragraph">
              <wp:posOffset>8950960</wp:posOffset>
            </wp:positionV>
            <wp:extent cx="838200" cy="942975"/>
            <wp:effectExtent l="19050" t="0" r="0" b="0"/>
            <wp:wrapNone/>
            <wp:docPr id="11" name="irc_mi" descr="http://extranet.southwark.anglican.org/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tranet.southwark.anglican.org/Shield.jpg"/>
                    <pic:cNvPicPr>
                      <a:picLocks noChangeAspect="1" noChangeArrowheads="1"/>
                    </pic:cNvPicPr>
                  </pic:nvPicPr>
                  <pic:blipFill>
                    <a:blip r:embed="rId9"/>
                    <a:srcRect/>
                    <a:stretch>
                      <a:fillRect/>
                    </a:stretch>
                  </pic:blipFill>
                  <pic:spPr bwMode="auto">
                    <a:xfrm>
                      <a:off x="0" y="0"/>
                      <a:ext cx="838200" cy="942975"/>
                    </a:xfrm>
                    <a:prstGeom prst="rect">
                      <a:avLst/>
                    </a:prstGeom>
                    <a:noFill/>
                    <a:ln w="9525">
                      <a:noFill/>
                      <a:miter lim="800000"/>
                      <a:headEnd/>
                      <a:tailEnd/>
                    </a:ln>
                  </pic:spPr>
                </pic:pic>
              </a:graphicData>
            </a:graphic>
          </wp:anchor>
        </w:drawing>
      </w:r>
      <w:r w:rsidR="00145590">
        <w:rPr>
          <w:noProof/>
          <w:lang w:eastAsia="en-GB"/>
        </w:rPr>
        <w:drawing>
          <wp:inline distT="0" distB="0" distL="0" distR="0">
            <wp:extent cx="8667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66775" cy="895350"/>
                    </a:xfrm>
                    <a:prstGeom prst="rect">
                      <a:avLst/>
                    </a:prstGeom>
                    <a:noFill/>
                    <a:ln w="9525">
                      <a:noFill/>
                      <a:miter lim="800000"/>
                      <a:headEnd/>
                      <a:tailEnd/>
                    </a:ln>
                  </pic:spPr>
                </pic:pic>
              </a:graphicData>
            </a:graphic>
          </wp:inline>
        </w:drawing>
      </w:r>
      <w:bookmarkStart w:id="0" w:name="_GoBack"/>
      <w:bookmarkEnd w:id="0"/>
      <w:r>
        <w:rPr>
          <w:noProof/>
          <w:lang w:eastAsia="en-GB"/>
        </w:rPr>
        <w:pict>
          <v:shape id="_x0000_s1042" type="#_x0000_t202" style="position:absolute;left:0;text-align:left;margin-left:-.2pt;margin-top:662.5pt;width:139.5pt;height:64.5pt;z-index:251661824;mso-position-horizontal-relative:text;mso-position-vertical-relative:text;mso-width-relative:margin;mso-height-relative:margin" filled="f" stroked="f">
            <v:textbox style="mso-next-textbox:#_x0000_s1042">
              <w:txbxContent>
                <w:p w:rsidR="00B874DB" w:rsidRPr="008F75DF" w:rsidRDefault="00B874DB" w:rsidP="007A2918">
                  <w:pPr>
                    <w:rPr>
                      <w:rFonts w:cs="Arial"/>
                    </w:rPr>
                  </w:pPr>
                  <w:r>
                    <w:rPr>
                      <w:rFonts w:cs="Arial"/>
                      <w:b/>
                      <w:sz w:val="48"/>
                      <w:szCs w:val="48"/>
                    </w:rPr>
                    <w:t>January 2017</w:t>
                  </w:r>
                </w:p>
              </w:txbxContent>
            </v:textbox>
          </v:shape>
        </w:pict>
      </w:r>
      <w:r w:rsidR="004D69CA">
        <w:tab/>
      </w:r>
      <w:r w:rsidR="00145590">
        <w:rPr>
          <w:noProof/>
          <w:lang w:eastAsia="en-GB"/>
        </w:rPr>
        <w:drawing>
          <wp:inline distT="0" distB="0" distL="0" distR="0">
            <wp:extent cx="1295400" cy="904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295400" cy="904875"/>
                    </a:xfrm>
                    <a:prstGeom prst="rect">
                      <a:avLst/>
                    </a:prstGeom>
                    <a:noFill/>
                    <a:ln w="9525">
                      <a:noFill/>
                      <a:miter lim="800000"/>
                      <a:headEnd/>
                      <a:tailEnd/>
                    </a:ln>
                  </pic:spPr>
                </pic:pic>
              </a:graphicData>
            </a:graphic>
          </wp:inline>
        </w:drawing>
      </w:r>
    </w:p>
    <w:p w:rsidR="000C0196" w:rsidRDefault="000C0196" w:rsidP="007532FF">
      <w:pPr>
        <w:pStyle w:val="Heading1"/>
        <w:tabs>
          <w:tab w:val="left" w:pos="10206"/>
        </w:tabs>
        <w:spacing w:after="0"/>
        <w:ind w:right="-283"/>
        <w:rPr>
          <w:b/>
          <w:color w:val="auto"/>
          <w:sz w:val="32"/>
          <w:szCs w:val="32"/>
        </w:rPr>
      </w:pPr>
    </w:p>
    <w:p w:rsidR="006E4444" w:rsidRPr="002748BB" w:rsidRDefault="006E4444" w:rsidP="007532FF">
      <w:pPr>
        <w:pStyle w:val="Heading1"/>
        <w:tabs>
          <w:tab w:val="left" w:pos="10206"/>
        </w:tabs>
        <w:spacing w:after="0"/>
        <w:ind w:right="-283"/>
        <w:rPr>
          <w:b/>
          <w:color w:val="auto"/>
          <w:sz w:val="32"/>
          <w:szCs w:val="32"/>
        </w:rPr>
      </w:pPr>
      <w:r w:rsidRPr="002748BB">
        <w:rPr>
          <w:b/>
          <w:color w:val="auto"/>
          <w:sz w:val="32"/>
          <w:szCs w:val="32"/>
        </w:rPr>
        <w:t>Introduction</w:t>
      </w:r>
    </w:p>
    <w:p w:rsidR="000C0196" w:rsidRPr="002748BB" w:rsidRDefault="000C0196" w:rsidP="007532FF">
      <w:pPr>
        <w:tabs>
          <w:tab w:val="left" w:pos="10206"/>
        </w:tabs>
        <w:ind w:right="-283"/>
        <w:rPr>
          <w:rFonts w:eastAsia="Calibri" w:cs="Arial"/>
          <w:sz w:val="22"/>
        </w:rPr>
      </w:pPr>
    </w:p>
    <w:p w:rsidR="006E4444" w:rsidRPr="00754ED1" w:rsidRDefault="006E4444" w:rsidP="00754ED1">
      <w:pPr>
        <w:pStyle w:val="ListParagraph"/>
        <w:numPr>
          <w:ilvl w:val="0"/>
          <w:numId w:val="19"/>
        </w:numPr>
        <w:tabs>
          <w:tab w:val="left" w:pos="10206"/>
        </w:tabs>
        <w:ind w:right="-283"/>
        <w:rPr>
          <w:szCs w:val="24"/>
        </w:rPr>
      </w:pPr>
      <w:r w:rsidRPr="00754ED1">
        <w:rPr>
          <w:szCs w:val="24"/>
        </w:rPr>
        <w:t xml:space="preserve">This </w:t>
      </w:r>
      <w:r w:rsidR="009352F7" w:rsidRPr="00754ED1">
        <w:rPr>
          <w:szCs w:val="24"/>
        </w:rPr>
        <w:t>document sets out details of a proposal to amalgamate Downs Way School and St. Mary’s C of E Junior School</w:t>
      </w:r>
      <w:r w:rsidRPr="00754ED1">
        <w:rPr>
          <w:rFonts w:eastAsia="Calibri" w:cs="Arial"/>
          <w:szCs w:val="24"/>
        </w:rPr>
        <w:t xml:space="preserve">. </w:t>
      </w:r>
      <w:r w:rsidR="0039356E">
        <w:rPr>
          <w:rFonts w:eastAsia="Calibri" w:cs="Arial"/>
          <w:szCs w:val="24"/>
        </w:rPr>
        <w:t>This</w:t>
      </w:r>
      <w:r w:rsidR="006B4E23">
        <w:rPr>
          <w:rFonts w:eastAsia="Calibri" w:cs="Arial"/>
          <w:szCs w:val="24"/>
        </w:rPr>
        <w:t xml:space="preserve"> represents the latter part</w:t>
      </w:r>
      <w:r w:rsidR="009352F7" w:rsidRPr="00754ED1">
        <w:rPr>
          <w:rFonts w:eastAsia="Calibri" w:cs="Arial"/>
          <w:szCs w:val="24"/>
        </w:rPr>
        <w:t xml:space="preserve"> of a two-stage consultation process, the timescales for which are presented below.</w:t>
      </w:r>
    </w:p>
    <w:p w:rsidR="000C0196" w:rsidRDefault="000C0196" w:rsidP="000C0196"/>
    <w:p w:rsidR="00754ED1" w:rsidRDefault="00754ED1" w:rsidP="00754ED1">
      <w:pPr>
        <w:pStyle w:val="Heading1"/>
        <w:tabs>
          <w:tab w:val="left" w:pos="10206"/>
        </w:tabs>
        <w:spacing w:after="0"/>
        <w:ind w:right="-283"/>
        <w:rPr>
          <w:rFonts w:cs="Arial"/>
          <w:b/>
          <w:color w:val="auto"/>
          <w:sz w:val="32"/>
          <w:szCs w:val="32"/>
        </w:rPr>
      </w:pPr>
      <w:r w:rsidRPr="000A71CA">
        <w:rPr>
          <w:rFonts w:cs="Arial"/>
          <w:b/>
          <w:color w:val="auto"/>
          <w:sz w:val="32"/>
          <w:szCs w:val="32"/>
        </w:rPr>
        <w:t>Background</w:t>
      </w:r>
    </w:p>
    <w:p w:rsidR="00754ED1" w:rsidRDefault="00754ED1" w:rsidP="000C0196"/>
    <w:p w:rsidR="00223697" w:rsidRPr="00754ED1" w:rsidRDefault="00223697" w:rsidP="00223697">
      <w:pPr>
        <w:pStyle w:val="ListParagraph"/>
        <w:numPr>
          <w:ilvl w:val="0"/>
          <w:numId w:val="19"/>
        </w:numPr>
        <w:tabs>
          <w:tab w:val="left" w:pos="10206"/>
        </w:tabs>
        <w:ind w:right="-283"/>
        <w:rPr>
          <w:rFonts w:eastAsia="Times New Roman" w:cs="Times New Roman"/>
          <w:szCs w:val="24"/>
          <w:lang w:eastAsia="en-GB"/>
        </w:rPr>
      </w:pPr>
      <w:r w:rsidRPr="00754ED1">
        <w:rPr>
          <w:rFonts w:eastAsia="Times New Roman" w:cs="Times New Roman"/>
          <w:szCs w:val="24"/>
          <w:lang w:eastAsia="en-GB"/>
        </w:rPr>
        <w:t>At present, the two schools that are the subject of this consultation comprise two distinct institutions, formulated as follows:</w:t>
      </w:r>
    </w:p>
    <w:p w:rsidR="00631270" w:rsidRDefault="00223697" w:rsidP="00631270">
      <w:pPr>
        <w:pStyle w:val="ListParagraph"/>
        <w:numPr>
          <w:ilvl w:val="0"/>
          <w:numId w:val="23"/>
        </w:numPr>
        <w:tabs>
          <w:tab w:val="left" w:pos="10206"/>
        </w:tabs>
        <w:ind w:right="-283"/>
        <w:rPr>
          <w:rFonts w:eastAsia="Times New Roman" w:cs="Times New Roman"/>
          <w:szCs w:val="24"/>
          <w:lang w:eastAsia="en-GB"/>
        </w:rPr>
      </w:pPr>
      <w:r w:rsidRPr="00631270">
        <w:rPr>
          <w:rFonts w:eastAsia="Times New Roman" w:cs="Times New Roman"/>
          <w:szCs w:val="24"/>
          <w:lang w:eastAsia="en-GB"/>
        </w:rPr>
        <w:t>Downs Way School – a two form entry (2FE) Community Infant School, which accommodates children from Year R to Year 2. The school has a Published Admission Number (PAN) of 60 and admits up to this number each year, into its Year R, giving an overall capacity of 180 places for mainstream pupils.</w:t>
      </w:r>
    </w:p>
    <w:p w:rsidR="00754ED1" w:rsidRPr="00631270" w:rsidRDefault="00223697" w:rsidP="00631270">
      <w:pPr>
        <w:pStyle w:val="ListParagraph"/>
        <w:numPr>
          <w:ilvl w:val="0"/>
          <w:numId w:val="23"/>
        </w:numPr>
        <w:tabs>
          <w:tab w:val="left" w:pos="10206"/>
        </w:tabs>
        <w:ind w:right="-283"/>
        <w:rPr>
          <w:rFonts w:eastAsia="Times New Roman" w:cs="Times New Roman"/>
          <w:szCs w:val="24"/>
          <w:lang w:eastAsia="en-GB"/>
        </w:rPr>
      </w:pPr>
      <w:r w:rsidRPr="00631270">
        <w:rPr>
          <w:rFonts w:eastAsia="Times New Roman" w:cs="Times New Roman"/>
          <w:szCs w:val="24"/>
          <w:lang w:eastAsia="en-GB"/>
        </w:rPr>
        <w:t xml:space="preserve">St. Mary’s C of E Junior School – a three form entry (3FE) </w:t>
      </w:r>
      <w:r w:rsidR="00F2125F" w:rsidRPr="00631270">
        <w:rPr>
          <w:rFonts w:eastAsia="Times New Roman" w:cs="Times New Roman"/>
          <w:szCs w:val="24"/>
          <w:lang w:eastAsia="en-GB"/>
        </w:rPr>
        <w:t>Voluntary Aided</w:t>
      </w:r>
      <w:r w:rsidRPr="00631270">
        <w:rPr>
          <w:rFonts w:eastAsia="Times New Roman" w:cs="Times New Roman"/>
          <w:szCs w:val="24"/>
          <w:lang w:eastAsia="en-GB"/>
        </w:rPr>
        <w:t xml:space="preserve"> Junior School, which accommodates children from Year 3 to Year 6. The school has a PAN of 90 and admits up to this number each year, into its Year 3, giving an overall capacity of 360 places for mainstream pupils.</w:t>
      </w:r>
    </w:p>
    <w:p w:rsidR="00754ED1" w:rsidRDefault="00754ED1" w:rsidP="000C0196"/>
    <w:p w:rsidR="00223697" w:rsidRDefault="00223697" w:rsidP="00223697">
      <w:pPr>
        <w:pStyle w:val="ListParagraph"/>
        <w:numPr>
          <w:ilvl w:val="0"/>
          <w:numId w:val="19"/>
        </w:numPr>
      </w:pPr>
      <w:r>
        <w:t>Downs Way School was recently expanded from 1.5FE to 2FE, with an additional building being supplied by Surrey County Council to support this. This is reflective of a growth in the school-age population in the area and it is expected that this increased pupil cohort will transition into the Junior phase in due course.</w:t>
      </w:r>
    </w:p>
    <w:p w:rsidR="00676E42" w:rsidRDefault="00676E42" w:rsidP="00676E42"/>
    <w:p w:rsidR="00676E42" w:rsidRDefault="00676E42" w:rsidP="00676E42">
      <w:pPr>
        <w:pStyle w:val="ListParagraph"/>
        <w:numPr>
          <w:ilvl w:val="0"/>
          <w:numId w:val="19"/>
        </w:numPr>
      </w:pPr>
      <w:r>
        <w:t xml:space="preserve">From </w:t>
      </w:r>
      <w:r w:rsidR="00D11B03">
        <w:t>April 2014</w:t>
      </w:r>
      <w:r>
        <w:t xml:space="preserve">, the Headteacher of St. Mary’s C of E School has been acting as the </w:t>
      </w:r>
      <w:r w:rsidR="00D11B03">
        <w:t>shared</w:t>
      </w:r>
      <w:r>
        <w:t xml:space="preserve"> Headteacher across both schools. The success of this arrangement has led to discussions regarding the move to a more formal relationship between the two schools, the outcome of which is the proposal that forms the basis of this consultation.</w:t>
      </w:r>
    </w:p>
    <w:p w:rsidR="00223697" w:rsidRPr="000C0196" w:rsidRDefault="00223697" w:rsidP="000C0196"/>
    <w:p w:rsidR="006E4444" w:rsidRPr="00BD569A" w:rsidRDefault="006E4444" w:rsidP="007532FF">
      <w:pPr>
        <w:pStyle w:val="Heading1"/>
        <w:tabs>
          <w:tab w:val="left" w:pos="10206"/>
        </w:tabs>
        <w:spacing w:after="0"/>
        <w:ind w:right="-283"/>
        <w:rPr>
          <w:b/>
          <w:color w:val="auto"/>
          <w:sz w:val="32"/>
          <w:szCs w:val="32"/>
        </w:rPr>
      </w:pPr>
      <w:r w:rsidRPr="00BD569A">
        <w:rPr>
          <w:b/>
          <w:color w:val="auto"/>
          <w:sz w:val="32"/>
          <w:szCs w:val="32"/>
        </w:rPr>
        <w:t>Proposal</w:t>
      </w:r>
    </w:p>
    <w:p w:rsidR="002B5A07" w:rsidRPr="002B5A07" w:rsidRDefault="002B5A07" w:rsidP="002B5A07">
      <w:pPr>
        <w:tabs>
          <w:tab w:val="left" w:pos="10206"/>
        </w:tabs>
        <w:ind w:right="-283"/>
        <w:rPr>
          <w:rFonts w:eastAsia="Times New Roman" w:cs="Times New Roman"/>
          <w:szCs w:val="24"/>
          <w:lang w:eastAsia="en-GB"/>
        </w:rPr>
      </w:pPr>
    </w:p>
    <w:p w:rsidR="00EB3460" w:rsidRDefault="00CE7AF6" w:rsidP="00754ED1">
      <w:pPr>
        <w:pStyle w:val="ListParagraph"/>
        <w:numPr>
          <w:ilvl w:val="0"/>
          <w:numId w:val="19"/>
        </w:numPr>
        <w:tabs>
          <w:tab w:val="left" w:pos="10206"/>
        </w:tabs>
        <w:ind w:right="-283"/>
        <w:rPr>
          <w:rFonts w:eastAsia="Times New Roman" w:cs="Times New Roman"/>
          <w:szCs w:val="24"/>
          <w:lang w:eastAsia="en-GB"/>
        </w:rPr>
      </w:pPr>
      <w:r w:rsidRPr="00754ED1">
        <w:rPr>
          <w:rFonts w:cs="Arial"/>
        </w:rPr>
        <w:t xml:space="preserve">Surrey County Council, in </w:t>
      </w:r>
      <w:r w:rsidR="00D2605C">
        <w:rPr>
          <w:rFonts w:cs="Arial"/>
        </w:rPr>
        <w:t xml:space="preserve">partnership with the </w:t>
      </w:r>
      <w:r w:rsidRPr="00754ED1">
        <w:rPr>
          <w:rFonts w:cs="Arial"/>
        </w:rPr>
        <w:t>Southwark</w:t>
      </w:r>
      <w:r w:rsidR="00D2605C">
        <w:rPr>
          <w:rFonts w:cs="Arial"/>
        </w:rPr>
        <w:t xml:space="preserve"> Diocesan Board of Education</w:t>
      </w:r>
      <w:r w:rsidRPr="00754ED1">
        <w:rPr>
          <w:rFonts w:cs="Arial"/>
        </w:rPr>
        <w:t xml:space="preserve"> and the Governing Bodies of St. Mary’s C of E Junior </w:t>
      </w:r>
      <w:r w:rsidR="00C079FE" w:rsidRPr="00754ED1">
        <w:rPr>
          <w:rFonts w:cs="Arial"/>
        </w:rPr>
        <w:t>School and Downs Way School,</w:t>
      </w:r>
      <w:r w:rsidR="006E4444" w:rsidRPr="00754ED1">
        <w:rPr>
          <w:rFonts w:eastAsia="Times New Roman" w:cs="Times New Roman"/>
          <w:szCs w:val="24"/>
          <w:lang w:eastAsia="en-GB"/>
        </w:rPr>
        <w:t xml:space="preserve"> is proposing to </w:t>
      </w:r>
      <w:r w:rsidR="00723D7A" w:rsidRPr="00754ED1">
        <w:rPr>
          <w:rFonts w:eastAsia="Times New Roman" w:cs="Times New Roman"/>
          <w:szCs w:val="24"/>
          <w:lang w:eastAsia="en-GB"/>
        </w:rPr>
        <w:t>amalgamate</w:t>
      </w:r>
      <w:r w:rsidR="00C079FE" w:rsidRPr="00754ED1">
        <w:rPr>
          <w:rFonts w:eastAsia="Times New Roman" w:cs="Times New Roman"/>
          <w:szCs w:val="24"/>
          <w:lang w:eastAsia="en-GB"/>
        </w:rPr>
        <w:t xml:space="preserve"> the two schools into a single in</w:t>
      </w:r>
      <w:r w:rsidR="00190BA9">
        <w:rPr>
          <w:rFonts w:eastAsia="Times New Roman" w:cs="Times New Roman"/>
          <w:szCs w:val="24"/>
          <w:lang w:eastAsia="en-GB"/>
        </w:rPr>
        <w:t>stitution, as we</w:t>
      </w:r>
      <w:r w:rsidR="00F52669">
        <w:rPr>
          <w:rFonts w:eastAsia="Times New Roman" w:cs="Times New Roman"/>
          <w:szCs w:val="24"/>
          <w:lang w:eastAsia="en-GB"/>
        </w:rPr>
        <w:t xml:space="preserve">ll as expand </w:t>
      </w:r>
      <w:proofErr w:type="gramStart"/>
      <w:r w:rsidR="00F52669">
        <w:rPr>
          <w:rFonts w:eastAsia="Times New Roman" w:cs="Times New Roman"/>
          <w:szCs w:val="24"/>
          <w:lang w:eastAsia="en-GB"/>
        </w:rPr>
        <w:t>Junior</w:t>
      </w:r>
      <w:proofErr w:type="gramEnd"/>
      <w:r w:rsidR="00F52669">
        <w:rPr>
          <w:rFonts w:eastAsia="Times New Roman" w:cs="Times New Roman"/>
          <w:szCs w:val="24"/>
          <w:lang w:eastAsia="en-GB"/>
        </w:rPr>
        <w:t xml:space="preserve"> provision</w:t>
      </w:r>
      <w:r w:rsidR="00190BA9">
        <w:rPr>
          <w:rFonts w:eastAsia="Times New Roman" w:cs="Times New Roman"/>
          <w:szCs w:val="24"/>
          <w:lang w:eastAsia="en-GB"/>
        </w:rPr>
        <w:t xml:space="preserve"> therein, from September 2018</w:t>
      </w:r>
      <w:r w:rsidR="00C079FE" w:rsidRPr="00754ED1">
        <w:rPr>
          <w:rFonts w:eastAsia="Times New Roman" w:cs="Times New Roman"/>
          <w:szCs w:val="24"/>
          <w:lang w:eastAsia="en-GB"/>
        </w:rPr>
        <w:t xml:space="preserve">. </w:t>
      </w:r>
      <w:r w:rsidR="00190BA9">
        <w:rPr>
          <w:rFonts w:eastAsia="Times New Roman" w:cs="Times New Roman"/>
          <w:szCs w:val="24"/>
          <w:lang w:eastAsia="en-GB"/>
        </w:rPr>
        <w:t>T</w:t>
      </w:r>
      <w:r w:rsidR="00754ED1">
        <w:rPr>
          <w:rFonts w:eastAsia="Times New Roman" w:cs="Times New Roman"/>
          <w:szCs w:val="24"/>
          <w:lang w:eastAsia="en-GB"/>
        </w:rPr>
        <w:t>he</w:t>
      </w:r>
      <w:r w:rsidR="00190BA9">
        <w:rPr>
          <w:rFonts w:eastAsia="Times New Roman" w:cs="Times New Roman"/>
          <w:szCs w:val="24"/>
          <w:lang w:eastAsia="en-GB"/>
        </w:rPr>
        <w:t xml:space="preserve"> schools would remain based over the two neighbouring sites.</w:t>
      </w:r>
    </w:p>
    <w:p w:rsidR="00EB3460" w:rsidRPr="00EB3460" w:rsidRDefault="00EB3460" w:rsidP="00EB3460">
      <w:pPr>
        <w:tabs>
          <w:tab w:val="left" w:pos="10206"/>
        </w:tabs>
        <w:ind w:left="142" w:right="-283"/>
        <w:rPr>
          <w:rFonts w:eastAsia="Times New Roman" w:cs="Times New Roman"/>
          <w:szCs w:val="24"/>
          <w:lang w:eastAsia="en-GB"/>
        </w:rPr>
      </w:pPr>
    </w:p>
    <w:p w:rsidR="000E1741" w:rsidRDefault="00EB3460" w:rsidP="00754ED1">
      <w:pPr>
        <w:pStyle w:val="ListParagraph"/>
        <w:numPr>
          <w:ilvl w:val="0"/>
          <w:numId w:val="19"/>
        </w:numPr>
        <w:tabs>
          <w:tab w:val="left" w:pos="10206"/>
        </w:tabs>
        <w:ind w:right="-283"/>
        <w:rPr>
          <w:rFonts w:eastAsia="Times New Roman" w:cs="Times New Roman"/>
          <w:szCs w:val="24"/>
          <w:lang w:eastAsia="en-GB"/>
        </w:rPr>
      </w:pPr>
      <w:r>
        <w:rPr>
          <w:rFonts w:eastAsia="Times New Roman" w:cs="Times New Roman"/>
          <w:szCs w:val="24"/>
          <w:lang w:eastAsia="en-GB"/>
        </w:rPr>
        <w:t xml:space="preserve">The nature of the legal framework surrounding school amalgamations allows for two routes to this being achieved. This first is to close both of the extant schools and open a new school in their place. The drawback of this approach is that the default position is that the new institution would be the subject of the </w:t>
      </w:r>
      <w:r w:rsidRPr="008E145C">
        <w:rPr>
          <w:rFonts w:eastAsia="Times New Roman" w:cs="Times New Roman"/>
          <w:i/>
          <w:szCs w:val="24"/>
          <w:lang w:eastAsia="en-GB"/>
        </w:rPr>
        <w:t>Free School Presumption</w:t>
      </w:r>
      <w:r>
        <w:rPr>
          <w:rFonts w:eastAsia="Times New Roman" w:cs="Times New Roman"/>
          <w:szCs w:val="24"/>
          <w:lang w:eastAsia="en-GB"/>
        </w:rPr>
        <w:t>, meaning that the operation of any such school would have to be opened up to competition from interested providers. As such, in order to secure continuity of provision and governance, it is proposed to follow the second route to amalgamation. Specifically, it is proposed to:</w:t>
      </w:r>
    </w:p>
    <w:p w:rsidR="00223697" w:rsidRDefault="0006241F" w:rsidP="00223697">
      <w:pPr>
        <w:pStyle w:val="ListParagraph"/>
        <w:numPr>
          <w:ilvl w:val="0"/>
          <w:numId w:val="20"/>
        </w:numPr>
        <w:tabs>
          <w:tab w:val="left" w:pos="10206"/>
        </w:tabs>
        <w:ind w:right="-283"/>
        <w:rPr>
          <w:rFonts w:eastAsia="Times New Roman" w:cs="Times New Roman"/>
          <w:szCs w:val="24"/>
          <w:lang w:eastAsia="en-GB"/>
        </w:rPr>
      </w:pPr>
      <w:r>
        <w:rPr>
          <w:rFonts w:eastAsia="Times New Roman" w:cs="Times New Roman"/>
          <w:szCs w:val="24"/>
          <w:lang w:eastAsia="en-GB"/>
        </w:rPr>
        <w:t>Close Downs Way Infant School</w:t>
      </w:r>
      <w:r w:rsidR="00F2125F">
        <w:rPr>
          <w:rFonts w:eastAsia="Times New Roman" w:cs="Times New Roman"/>
          <w:szCs w:val="24"/>
          <w:lang w:eastAsia="en-GB"/>
        </w:rPr>
        <w:t>, effective from 31 August 2018.</w:t>
      </w:r>
    </w:p>
    <w:p w:rsidR="0006241F" w:rsidRPr="0006241F" w:rsidRDefault="0006241F" w:rsidP="0006241F">
      <w:pPr>
        <w:pStyle w:val="ListParagraph"/>
        <w:numPr>
          <w:ilvl w:val="0"/>
          <w:numId w:val="20"/>
        </w:numPr>
        <w:tabs>
          <w:tab w:val="left" w:pos="10206"/>
        </w:tabs>
        <w:ind w:right="-283"/>
        <w:rPr>
          <w:rFonts w:eastAsia="Times New Roman" w:cs="Times New Roman"/>
          <w:szCs w:val="24"/>
          <w:lang w:eastAsia="en-GB"/>
        </w:rPr>
      </w:pPr>
      <w:r>
        <w:rPr>
          <w:rFonts w:eastAsia="Times New Roman" w:cs="Times New Roman"/>
          <w:szCs w:val="24"/>
          <w:lang w:eastAsia="en-GB"/>
        </w:rPr>
        <w:t>Alter the lower age limit of St. Mary’s C of E Junior School, in order that the age r</w:t>
      </w:r>
      <w:r w:rsidR="00F2125F">
        <w:rPr>
          <w:rFonts w:eastAsia="Times New Roman" w:cs="Times New Roman"/>
          <w:szCs w:val="24"/>
          <w:lang w:eastAsia="en-GB"/>
        </w:rPr>
        <w:t>ange broadens from 7-11 to 4-11, effective from 1 September 2018</w:t>
      </w:r>
      <w:r w:rsidR="00B25B29">
        <w:rPr>
          <w:rFonts w:eastAsia="Times New Roman" w:cs="Times New Roman"/>
          <w:szCs w:val="24"/>
          <w:lang w:eastAsia="en-GB"/>
        </w:rPr>
        <w:t>.</w:t>
      </w:r>
    </w:p>
    <w:p w:rsidR="0006241F" w:rsidRDefault="0006241F" w:rsidP="00223697">
      <w:pPr>
        <w:pStyle w:val="ListParagraph"/>
        <w:numPr>
          <w:ilvl w:val="0"/>
          <w:numId w:val="20"/>
        </w:numPr>
        <w:tabs>
          <w:tab w:val="left" w:pos="10206"/>
        </w:tabs>
        <w:ind w:right="-283"/>
        <w:rPr>
          <w:rFonts w:eastAsia="Times New Roman" w:cs="Times New Roman"/>
          <w:szCs w:val="24"/>
          <w:lang w:eastAsia="en-GB"/>
        </w:rPr>
      </w:pPr>
      <w:r>
        <w:rPr>
          <w:rFonts w:eastAsia="Times New Roman" w:cs="Times New Roman"/>
          <w:szCs w:val="24"/>
          <w:lang w:eastAsia="en-GB"/>
        </w:rPr>
        <w:t>Rebrand this newly expanded school as a Primary School</w:t>
      </w:r>
      <w:r w:rsidR="00F2125F">
        <w:rPr>
          <w:rFonts w:eastAsia="Times New Roman" w:cs="Times New Roman"/>
          <w:szCs w:val="24"/>
          <w:lang w:eastAsia="en-GB"/>
        </w:rPr>
        <w:t>, effective from 1 September 2018</w:t>
      </w:r>
      <w:r>
        <w:rPr>
          <w:rFonts w:eastAsia="Times New Roman" w:cs="Times New Roman"/>
          <w:szCs w:val="24"/>
          <w:lang w:eastAsia="en-GB"/>
        </w:rPr>
        <w:t>. The name change will be the subject of a separate consultation exercise.</w:t>
      </w:r>
    </w:p>
    <w:p w:rsidR="0006241F" w:rsidRPr="00223697" w:rsidRDefault="0006241F" w:rsidP="00223697">
      <w:pPr>
        <w:pStyle w:val="ListParagraph"/>
        <w:numPr>
          <w:ilvl w:val="0"/>
          <w:numId w:val="20"/>
        </w:numPr>
        <w:tabs>
          <w:tab w:val="left" w:pos="10206"/>
        </w:tabs>
        <w:ind w:right="-283"/>
        <w:rPr>
          <w:rFonts w:eastAsia="Times New Roman" w:cs="Times New Roman"/>
          <w:szCs w:val="24"/>
          <w:lang w:eastAsia="en-GB"/>
        </w:rPr>
      </w:pPr>
      <w:r>
        <w:rPr>
          <w:rFonts w:eastAsia="Times New Roman" w:cs="Times New Roman"/>
          <w:szCs w:val="24"/>
          <w:lang w:eastAsia="en-GB"/>
        </w:rPr>
        <w:lastRenderedPageBreak/>
        <w:t>Enlarge the KS2 provision at this Primary School from 3FE to 4FE</w:t>
      </w:r>
      <w:r w:rsidR="00F2125F">
        <w:rPr>
          <w:rFonts w:eastAsia="Times New Roman" w:cs="Times New Roman"/>
          <w:szCs w:val="24"/>
          <w:lang w:eastAsia="en-GB"/>
        </w:rPr>
        <w:t>, effective from 1 September 2018.</w:t>
      </w:r>
    </w:p>
    <w:p w:rsidR="007532FF" w:rsidRPr="00223697" w:rsidRDefault="007532FF" w:rsidP="00223697">
      <w:pPr>
        <w:tabs>
          <w:tab w:val="left" w:pos="10206"/>
        </w:tabs>
        <w:ind w:right="-283"/>
        <w:rPr>
          <w:rFonts w:eastAsia="Times New Roman" w:cs="Times New Roman"/>
          <w:szCs w:val="24"/>
          <w:lang w:eastAsia="en-GB"/>
        </w:rPr>
      </w:pPr>
    </w:p>
    <w:p w:rsidR="00F2125F" w:rsidRDefault="00F2125F" w:rsidP="00DF2BF5">
      <w:pPr>
        <w:pStyle w:val="ListParagraph"/>
        <w:numPr>
          <w:ilvl w:val="0"/>
          <w:numId w:val="19"/>
        </w:numPr>
        <w:tabs>
          <w:tab w:val="left" w:pos="10206"/>
        </w:tabs>
        <w:ind w:right="-283"/>
        <w:rPr>
          <w:rFonts w:cs="Helv"/>
          <w:color w:val="000000"/>
          <w:szCs w:val="24"/>
        </w:rPr>
      </w:pPr>
      <w:r>
        <w:rPr>
          <w:rFonts w:cs="Helv"/>
          <w:color w:val="000000"/>
          <w:szCs w:val="24"/>
        </w:rPr>
        <w:t>The consequence of this proposal would be to create a new, amalgamated Voluntary Aided Primary School</w:t>
      </w:r>
      <w:r w:rsidR="00E554ED">
        <w:rPr>
          <w:rFonts w:cs="Helv"/>
          <w:color w:val="000000"/>
          <w:szCs w:val="24"/>
        </w:rPr>
        <w:t xml:space="preserve"> from 1 September 2018</w:t>
      </w:r>
      <w:r>
        <w:rPr>
          <w:rFonts w:cs="Helv"/>
          <w:color w:val="000000"/>
          <w:szCs w:val="24"/>
        </w:rPr>
        <w:t xml:space="preserve">, accommodating pupils from Year R to Year 6. The school would have a PAN of 60 in KS1 and an </w:t>
      </w:r>
      <w:r w:rsidRPr="00F2125F">
        <w:rPr>
          <w:rFonts w:cs="Helv"/>
          <w:i/>
          <w:color w:val="000000"/>
          <w:szCs w:val="24"/>
        </w:rPr>
        <w:t>additional</w:t>
      </w:r>
      <w:r>
        <w:rPr>
          <w:rFonts w:cs="Helv"/>
          <w:color w:val="000000"/>
          <w:szCs w:val="24"/>
        </w:rPr>
        <w:t xml:space="preserve"> 60 in KS2, giving an overall capacity of 660 places for mainstream pupils, as shown in the below table:</w:t>
      </w:r>
    </w:p>
    <w:p w:rsidR="00DF2BF5" w:rsidRPr="00DF2BF5" w:rsidRDefault="00DF2BF5" w:rsidP="00DF2BF5">
      <w:pPr>
        <w:tabs>
          <w:tab w:val="left" w:pos="10206"/>
        </w:tabs>
        <w:ind w:right="-283"/>
        <w:rPr>
          <w:rFonts w:cs="Helv"/>
          <w:color w:val="000000"/>
          <w:szCs w:val="24"/>
        </w:rPr>
      </w:pPr>
    </w:p>
    <w:tbl>
      <w:tblPr>
        <w:tblStyle w:val="TableGrid"/>
        <w:tblW w:w="0" w:type="auto"/>
        <w:tblInd w:w="675" w:type="dxa"/>
        <w:tblLook w:val="04A0"/>
      </w:tblPr>
      <w:tblGrid>
        <w:gridCol w:w="1276"/>
        <w:gridCol w:w="1276"/>
      </w:tblGrid>
      <w:tr w:rsidR="00DF2BF5" w:rsidTr="00766799">
        <w:tc>
          <w:tcPr>
            <w:tcW w:w="1276" w:type="dxa"/>
            <w:shd w:val="pct20" w:color="auto" w:fill="auto"/>
          </w:tcPr>
          <w:p w:rsidR="00DF2BF5" w:rsidRPr="00E554ED" w:rsidRDefault="00DF2BF5" w:rsidP="00DF2BF5">
            <w:pPr>
              <w:tabs>
                <w:tab w:val="left" w:pos="10206"/>
              </w:tabs>
              <w:ind w:right="-283"/>
              <w:rPr>
                <w:rFonts w:cs="Helv"/>
                <w:b/>
                <w:color w:val="000000"/>
                <w:sz w:val="24"/>
                <w:szCs w:val="24"/>
              </w:rPr>
            </w:pPr>
            <w:r w:rsidRPr="00E554ED">
              <w:rPr>
                <w:rFonts w:cs="Helv"/>
                <w:b/>
                <w:color w:val="000000"/>
                <w:sz w:val="24"/>
                <w:szCs w:val="24"/>
              </w:rPr>
              <w:t>Year</w:t>
            </w:r>
          </w:p>
        </w:tc>
        <w:tc>
          <w:tcPr>
            <w:tcW w:w="1276" w:type="dxa"/>
            <w:shd w:val="pct20" w:color="auto" w:fill="auto"/>
          </w:tcPr>
          <w:p w:rsidR="00DF2BF5" w:rsidRPr="00E554ED" w:rsidRDefault="00E554ED" w:rsidP="00DF2BF5">
            <w:pPr>
              <w:tabs>
                <w:tab w:val="left" w:pos="10206"/>
              </w:tabs>
              <w:ind w:right="-283"/>
              <w:rPr>
                <w:rFonts w:cs="Helv"/>
                <w:b/>
                <w:color w:val="000000"/>
                <w:sz w:val="24"/>
                <w:szCs w:val="24"/>
              </w:rPr>
            </w:pPr>
            <w:r w:rsidRPr="00E554ED">
              <w:rPr>
                <w:rFonts w:cs="Helv"/>
                <w:b/>
                <w:color w:val="000000"/>
                <w:sz w:val="24"/>
                <w:szCs w:val="24"/>
              </w:rPr>
              <w:t>Capacity</w:t>
            </w:r>
          </w:p>
        </w:tc>
      </w:tr>
      <w:tr w:rsidR="00DF2BF5" w:rsidTr="00766799">
        <w:tc>
          <w:tcPr>
            <w:tcW w:w="1276" w:type="dxa"/>
          </w:tcPr>
          <w:p w:rsidR="00DF2BF5" w:rsidRPr="00DF2BF5" w:rsidRDefault="00DF2BF5" w:rsidP="00DF2BF5">
            <w:pPr>
              <w:tabs>
                <w:tab w:val="left" w:pos="10206"/>
              </w:tabs>
              <w:ind w:right="-283"/>
              <w:rPr>
                <w:rFonts w:cs="Helv"/>
                <w:color w:val="000000"/>
                <w:sz w:val="24"/>
                <w:szCs w:val="24"/>
              </w:rPr>
            </w:pPr>
            <w:r>
              <w:rPr>
                <w:rFonts w:cs="Helv"/>
                <w:color w:val="000000"/>
                <w:sz w:val="24"/>
                <w:szCs w:val="24"/>
              </w:rPr>
              <w:t>YR</w:t>
            </w:r>
          </w:p>
        </w:tc>
        <w:tc>
          <w:tcPr>
            <w:tcW w:w="1276" w:type="dxa"/>
          </w:tcPr>
          <w:p w:rsidR="00DF2BF5" w:rsidRPr="00DF2BF5" w:rsidRDefault="00E554ED" w:rsidP="00DF2BF5">
            <w:pPr>
              <w:tabs>
                <w:tab w:val="left" w:pos="10206"/>
              </w:tabs>
              <w:ind w:right="-283"/>
              <w:rPr>
                <w:rFonts w:cs="Helv"/>
                <w:color w:val="000000"/>
                <w:sz w:val="24"/>
                <w:szCs w:val="24"/>
              </w:rPr>
            </w:pPr>
            <w:r>
              <w:rPr>
                <w:rFonts w:cs="Helv"/>
                <w:color w:val="000000"/>
                <w:sz w:val="24"/>
                <w:szCs w:val="24"/>
              </w:rPr>
              <w:t>60</w:t>
            </w:r>
          </w:p>
        </w:tc>
      </w:tr>
      <w:tr w:rsidR="00DF2BF5" w:rsidTr="00766799">
        <w:tc>
          <w:tcPr>
            <w:tcW w:w="1276" w:type="dxa"/>
          </w:tcPr>
          <w:p w:rsidR="00DF2BF5" w:rsidRPr="00DF2BF5" w:rsidRDefault="00DF2BF5" w:rsidP="00DF2BF5">
            <w:pPr>
              <w:tabs>
                <w:tab w:val="left" w:pos="10206"/>
              </w:tabs>
              <w:ind w:right="-283"/>
              <w:rPr>
                <w:rFonts w:cs="Helv"/>
                <w:color w:val="000000"/>
                <w:sz w:val="24"/>
                <w:szCs w:val="24"/>
              </w:rPr>
            </w:pPr>
            <w:r>
              <w:rPr>
                <w:rFonts w:cs="Helv"/>
                <w:color w:val="000000"/>
                <w:sz w:val="24"/>
                <w:szCs w:val="24"/>
              </w:rPr>
              <w:t>Y1</w:t>
            </w:r>
          </w:p>
        </w:tc>
        <w:tc>
          <w:tcPr>
            <w:tcW w:w="1276" w:type="dxa"/>
          </w:tcPr>
          <w:p w:rsidR="00DF2BF5" w:rsidRPr="00DF2BF5" w:rsidRDefault="00E554ED" w:rsidP="00DF2BF5">
            <w:pPr>
              <w:tabs>
                <w:tab w:val="left" w:pos="10206"/>
              </w:tabs>
              <w:ind w:right="-283"/>
              <w:rPr>
                <w:rFonts w:cs="Helv"/>
                <w:color w:val="000000"/>
                <w:sz w:val="24"/>
                <w:szCs w:val="24"/>
              </w:rPr>
            </w:pPr>
            <w:r>
              <w:rPr>
                <w:rFonts w:cs="Helv"/>
                <w:color w:val="000000"/>
                <w:sz w:val="24"/>
                <w:szCs w:val="24"/>
              </w:rPr>
              <w:t>60</w:t>
            </w:r>
          </w:p>
        </w:tc>
      </w:tr>
      <w:tr w:rsidR="00DF2BF5" w:rsidTr="00766799">
        <w:tc>
          <w:tcPr>
            <w:tcW w:w="1276" w:type="dxa"/>
          </w:tcPr>
          <w:p w:rsidR="00DF2BF5" w:rsidRPr="00DF2BF5" w:rsidRDefault="00DF2BF5" w:rsidP="00DF2BF5">
            <w:pPr>
              <w:tabs>
                <w:tab w:val="left" w:pos="10206"/>
              </w:tabs>
              <w:ind w:right="-283"/>
              <w:rPr>
                <w:rFonts w:cs="Helv"/>
                <w:color w:val="000000"/>
                <w:sz w:val="24"/>
                <w:szCs w:val="24"/>
              </w:rPr>
            </w:pPr>
            <w:r>
              <w:rPr>
                <w:rFonts w:cs="Helv"/>
                <w:color w:val="000000"/>
                <w:sz w:val="24"/>
                <w:szCs w:val="24"/>
              </w:rPr>
              <w:t>Y2</w:t>
            </w:r>
          </w:p>
        </w:tc>
        <w:tc>
          <w:tcPr>
            <w:tcW w:w="1276" w:type="dxa"/>
          </w:tcPr>
          <w:p w:rsidR="00DF2BF5" w:rsidRPr="00DF2BF5" w:rsidRDefault="00E554ED" w:rsidP="00DF2BF5">
            <w:pPr>
              <w:tabs>
                <w:tab w:val="left" w:pos="10206"/>
              </w:tabs>
              <w:ind w:right="-283"/>
              <w:rPr>
                <w:rFonts w:cs="Helv"/>
                <w:color w:val="000000"/>
                <w:sz w:val="24"/>
                <w:szCs w:val="24"/>
              </w:rPr>
            </w:pPr>
            <w:r>
              <w:rPr>
                <w:rFonts w:cs="Helv"/>
                <w:color w:val="000000"/>
                <w:sz w:val="24"/>
                <w:szCs w:val="24"/>
              </w:rPr>
              <w:t>60</w:t>
            </w:r>
          </w:p>
        </w:tc>
      </w:tr>
      <w:tr w:rsidR="00DF2BF5" w:rsidTr="00766799">
        <w:tc>
          <w:tcPr>
            <w:tcW w:w="1276" w:type="dxa"/>
          </w:tcPr>
          <w:p w:rsidR="00DF2BF5" w:rsidRPr="00DF2BF5" w:rsidRDefault="00DF2BF5" w:rsidP="00DF2BF5">
            <w:pPr>
              <w:tabs>
                <w:tab w:val="left" w:pos="10206"/>
              </w:tabs>
              <w:ind w:right="-283"/>
              <w:rPr>
                <w:rFonts w:cs="Helv"/>
                <w:color w:val="000000"/>
                <w:sz w:val="24"/>
                <w:szCs w:val="24"/>
              </w:rPr>
            </w:pPr>
            <w:r>
              <w:rPr>
                <w:rFonts w:cs="Helv"/>
                <w:color w:val="000000"/>
                <w:sz w:val="24"/>
                <w:szCs w:val="24"/>
              </w:rPr>
              <w:t>Y3</w:t>
            </w:r>
          </w:p>
        </w:tc>
        <w:tc>
          <w:tcPr>
            <w:tcW w:w="1276" w:type="dxa"/>
          </w:tcPr>
          <w:p w:rsidR="00DF2BF5" w:rsidRPr="00DF2BF5" w:rsidRDefault="00E554ED" w:rsidP="00DF2BF5">
            <w:pPr>
              <w:tabs>
                <w:tab w:val="left" w:pos="10206"/>
              </w:tabs>
              <w:ind w:right="-283"/>
              <w:rPr>
                <w:rFonts w:cs="Helv"/>
                <w:color w:val="000000"/>
                <w:sz w:val="24"/>
                <w:szCs w:val="24"/>
              </w:rPr>
            </w:pPr>
            <w:r>
              <w:rPr>
                <w:rFonts w:cs="Helv"/>
                <w:color w:val="000000"/>
                <w:sz w:val="24"/>
                <w:szCs w:val="24"/>
              </w:rPr>
              <w:t>120</w:t>
            </w:r>
          </w:p>
        </w:tc>
      </w:tr>
      <w:tr w:rsidR="00DF2BF5" w:rsidTr="00766799">
        <w:tc>
          <w:tcPr>
            <w:tcW w:w="1276" w:type="dxa"/>
          </w:tcPr>
          <w:p w:rsidR="00DF2BF5" w:rsidRPr="00DF2BF5" w:rsidRDefault="00DF2BF5" w:rsidP="00DF2BF5">
            <w:pPr>
              <w:tabs>
                <w:tab w:val="left" w:pos="10206"/>
              </w:tabs>
              <w:ind w:right="-283"/>
              <w:rPr>
                <w:rFonts w:cs="Helv"/>
                <w:color w:val="000000"/>
                <w:sz w:val="24"/>
                <w:szCs w:val="24"/>
              </w:rPr>
            </w:pPr>
            <w:r>
              <w:rPr>
                <w:rFonts w:cs="Helv"/>
                <w:color w:val="000000"/>
                <w:sz w:val="24"/>
                <w:szCs w:val="24"/>
              </w:rPr>
              <w:t>Y4</w:t>
            </w:r>
          </w:p>
        </w:tc>
        <w:tc>
          <w:tcPr>
            <w:tcW w:w="1276" w:type="dxa"/>
          </w:tcPr>
          <w:p w:rsidR="00DF2BF5" w:rsidRPr="00DF2BF5" w:rsidRDefault="00E554ED" w:rsidP="00DF2BF5">
            <w:pPr>
              <w:tabs>
                <w:tab w:val="left" w:pos="10206"/>
              </w:tabs>
              <w:ind w:right="-283"/>
              <w:rPr>
                <w:rFonts w:cs="Helv"/>
                <w:color w:val="000000"/>
                <w:sz w:val="24"/>
                <w:szCs w:val="24"/>
              </w:rPr>
            </w:pPr>
            <w:r>
              <w:rPr>
                <w:rFonts w:cs="Helv"/>
                <w:color w:val="000000"/>
                <w:sz w:val="24"/>
                <w:szCs w:val="24"/>
              </w:rPr>
              <w:t>120</w:t>
            </w:r>
          </w:p>
        </w:tc>
      </w:tr>
      <w:tr w:rsidR="00DF2BF5" w:rsidTr="00766799">
        <w:tc>
          <w:tcPr>
            <w:tcW w:w="1276" w:type="dxa"/>
          </w:tcPr>
          <w:p w:rsidR="00DF2BF5" w:rsidRPr="00DF2BF5" w:rsidRDefault="00DF2BF5" w:rsidP="00DF2BF5">
            <w:pPr>
              <w:tabs>
                <w:tab w:val="left" w:pos="10206"/>
              </w:tabs>
              <w:ind w:right="-283"/>
              <w:rPr>
                <w:rFonts w:cs="Helv"/>
                <w:color w:val="000000"/>
                <w:sz w:val="24"/>
                <w:szCs w:val="24"/>
              </w:rPr>
            </w:pPr>
            <w:r>
              <w:rPr>
                <w:rFonts w:cs="Helv"/>
                <w:color w:val="000000"/>
                <w:sz w:val="24"/>
                <w:szCs w:val="24"/>
              </w:rPr>
              <w:t>Y5</w:t>
            </w:r>
          </w:p>
        </w:tc>
        <w:tc>
          <w:tcPr>
            <w:tcW w:w="1276" w:type="dxa"/>
          </w:tcPr>
          <w:p w:rsidR="00DF2BF5" w:rsidRPr="00DF2BF5" w:rsidRDefault="00E554ED" w:rsidP="00DF2BF5">
            <w:pPr>
              <w:tabs>
                <w:tab w:val="left" w:pos="10206"/>
              </w:tabs>
              <w:ind w:right="-283"/>
              <w:rPr>
                <w:rFonts w:cs="Helv"/>
                <w:color w:val="000000"/>
                <w:sz w:val="24"/>
                <w:szCs w:val="24"/>
              </w:rPr>
            </w:pPr>
            <w:r>
              <w:rPr>
                <w:rFonts w:cs="Helv"/>
                <w:color w:val="000000"/>
                <w:sz w:val="24"/>
                <w:szCs w:val="24"/>
              </w:rPr>
              <w:t>120</w:t>
            </w:r>
          </w:p>
        </w:tc>
      </w:tr>
      <w:tr w:rsidR="00DF2BF5" w:rsidTr="00766799">
        <w:tc>
          <w:tcPr>
            <w:tcW w:w="1276" w:type="dxa"/>
          </w:tcPr>
          <w:p w:rsidR="00DF2BF5" w:rsidRPr="00DF2BF5" w:rsidRDefault="00E554ED" w:rsidP="00DF2BF5">
            <w:pPr>
              <w:tabs>
                <w:tab w:val="left" w:pos="10206"/>
              </w:tabs>
              <w:ind w:right="-283"/>
              <w:rPr>
                <w:rFonts w:cs="Helv"/>
                <w:color w:val="000000"/>
                <w:sz w:val="24"/>
                <w:szCs w:val="24"/>
              </w:rPr>
            </w:pPr>
            <w:r>
              <w:rPr>
                <w:rFonts w:cs="Helv"/>
                <w:color w:val="000000"/>
                <w:sz w:val="24"/>
                <w:szCs w:val="24"/>
              </w:rPr>
              <w:t>Y6</w:t>
            </w:r>
          </w:p>
        </w:tc>
        <w:tc>
          <w:tcPr>
            <w:tcW w:w="1276" w:type="dxa"/>
          </w:tcPr>
          <w:p w:rsidR="00DF2BF5" w:rsidRPr="00DF2BF5" w:rsidRDefault="00E554ED" w:rsidP="00DF2BF5">
            <w:pPr>
              <w:tabs>
                <w:tab w:val="left" w:pos="10206"/>
              </w:tabs>
              <w:ind w:right="-283"/>
              <w:rPr>
                <w:rFonts w:cs="Helv"/>
                <w:color w:val="000000"/>
                <w:sz w:val="24"/>
                <w:szCs w:val="24"/>
              </w:rPr>
            </w:pPr>
            <w:r>
              <w:rPr>
                <w:rFonts w:cs="Helv"/>
                <w:color w:val="000000"/>
                <w:sz w:val="24"/>
                <w:szCs w:val="24"/>
              </w:rPr>
              <w:t>120</w:t>
            </w:r>
          </w:p>
        </w:tc>
      </w:tr>
      <w:tr w:rsidR="00E554ED" w:rsidRPr="00DF2BF5" w:rsidTr="00766799">
        <w:tc>
          <w:tcPr>
            <w:tcW w:w="1276" w:type="dxa"/>
          </w:tcPr>
          <w:p w:rsidR="00E554ED" w:rsidRPr="00E554ED" w:rsidRDefault="00E554ED" w:rsidP="00D332C6">
            <w:pPr>
              <w:tabs>
                <w:tab w:val="left" w:pos="10206"/>
              </w:tabs>
              <w:ind w:right="-283"/>
              <w:rPr>
                <w:rFonts w:cs="Helv"/>
                <w:b/>
                <w:color w:val="000000"/>
                <w:sz w:val="24"/>
                <w:szCs w:val="24"/>
              </w:rPr>
            </w:pPr>
            <w:r w:rsidRPr="00E554ED">
              <w:rPr>
                <w:rFonts w:cs="Helv"/>
                <w:b/>
                <w:color w:val="000000"/>
                <w:sz w:val="24"/>
                <w:szCs w:val="24"/>
              </w:rPr>
              <w:t>Tot</w:t>
            </w:r>
            <w:r>
              <w:rPr>
                <w:rFonts w:cs="Helv"/>
                <w:b/>
                <w:color w:val="000000"/>
                <w:sz w:val="24"/>
                <w:szCs w:val="24"/>
              </w:rPr>
              <w:t>al</w:t>
            </w:r>
          </w:p>
        </w:tc>
        <w:tc>
          <w:tcPr>
            <w:tcW w:w="1276" w:type="dxa"/>
          </w:tcPr>
          <w:p w:rsidR="00E554ED" w:rsidRPr="00E554ED" w:rsidRDefault="00E554ED" w:rsidP="00D332C6">
            <w:pPr>
              <w:tabs>
                <w:tab w:val="left" w:pos="10206"/>
              </w:tabs>
              <w:ind w:right="-283"/>
              <w:rPr>
                <w:rFonts w:cs="Helv"/>
                <w:b/>
                <w:color w:val="000000"/>
                <w:sz w:val="24"/>
                <w:szCs w:val="24"/>
              </w:rPr>
            </w:pPr>
            <w:r>
              <w:rPr>
                <w:rFonts w:cs="Helv"/>
                <w:b/>
                <w:color w:val="000000"/>
                <w:sz w:val="24"/>
                <w:szCs w:val="24"/>
              </w:rPr>
              <w:t>660</w:t>
            </w:r>
          </w:p>
        </w:tc>
      </w:tr>
    </w:tbl>
    <w:p w:rsidR="00F2125F" w:rsidRDefault="00F2125F" w:rsidP="00DF2BF5">
      <w:pPr>
        <w:tabs>
          <w:tab w:val="left" w:pos="10206"/>
        </w:tabs>
        <w:ind w:right="-283"/>
        <w:rPr>
          <w:rFonts w:cs="Helv"/>
          <w:color w:val="000000"/>
          <w:szCs w:val="24"/>
        </w:rPr>
      </w:pPr>
    </w:p>
    <w:p w:rsidR="00E554ED" w:rsidRPr="00E554ED" w:rsidRDefault="00E554ED" w:rsidP="00E554ED">
      <w:pPr>
        <w:pStyle w:val="ListParagraph"/>
        <w:numPr>
          <w:ilvl w:val="0"/>
          <w:numId w:val="19"/>
        </w:numPr>
        <w:tabs>
          <w:tab w:val="left" w:pos="10206"/>
        </w:tabs>
        <w:ind w:right="-283"/>
        <w:rPr>
          <w:rFonts w:cs="Helv"/>
          <w:color w:val="000000"/>
          <w:szCs w:val="24"/>
        </w:rPr>
      </w:pPr>
      <w:r>
        <w:rPr>
          <w:rFonts w:cs="Helv"/>
          <w:color w:val="000000"/>
          <w:szCs w:val="24"/>
        </w:rPr>
        <w:t>The school would expand its KS2 provision incrementally year-on-year, eventually reaching its full capacity in 2021, as detailed in the below table:</w:t>
      </w:r>
    </w:p>
    <w:p w:rsidR="006E4444" w:rsidRDefault="006E4444" w:rsidP="007532FF">
      <w:pPr>
        <w:tabs>
          <w:tab w:val="left" w:pos="10206"/>
        </w:tabs>
        <w:ind w:right="-283"/>
        <w:rPr>
          <w:b/>
          <w:szCs w:val="24"/>
        </w:rPr>
      </w:pPr>
    </w:p>
    <w:tbl>
      <w:tblPr>
        <w:tblStyle w:val="TableGrid"/>
        <w:tblW w:w="0" w:type="auto"/>
        <w:tblInd w:w="675" w:type="dxa"/>
        <w:tblLook w:val="04A0"/>
      </w:tblPr>
      <w:tblGrid>
        <w:gridCol w:w="1084"/>
        <w:gridCol w:w="939"/>
        <w:gridCol w:w="938"/>
        <w:gridCol w:w="938"/>
        <w:gridCol w:w="939"/>
        <w:gridCol w:w="939"/>
        <w:gridCol w:w="939"/>
        <w:gridCol w:w="939"/>
        <w:gridCol w:w="944"/>
      </w:tblGrid>
      <w:tr w:rsidR="00E554ED" w:rsidRPr="00B70EFD" w:rsidTr="00766799">
        <w:tc>
          <w:tcPr>
            <w:tcW w:w="943" w:type="dxa"/>
            <w:shd w:val="pct20" w:color="auto" w:fill="auto"/>
          </w:tcPr>
          <w:p w:rsidR="00E554ED" w:rsidRPr="00E554ED" w:rsidRDefault="00E554ED" w:rsidP="00D332C6">
            <w:pPr>
              <w:rPr>
                <w:rFonts w:cs="Arial"/>
                <w:b/>
                <w:sz w:val="24"/>
                <w:szCs w:val="24"/>
              </w:rPr>
            </w:pPr>
            <w:r w:rsidRPr="00E554ED">
              <w:rPr>
                <w:rFonts w:cs="Arial"/>
                <w:b/>
                <w:sz w:val="24"/>
                <w:szCs w:val="24"/>
              </w:rPr>
              <w:t>Year</w:t>
            </w:r>
          </w:p>
        </w:tc>
        <w:tc>
          <w:tcPr>
            <w:tcW w:w="939" w:type="dxa"/>
            <w:shd w:val="pct20" w:color="auto" w:fill="auto"/>
          </w:tcPr>
          <w:p w:rsidR="00E554ED" w:rsidRPr="00E554ED" w:rsidRDefault="00E554ED" w:rsidP="00D332C6">
            <w:pPr>
              <w:rPr>
                <w:rFonts w:cs="Arial"/>
                <w:b/>
                <w:sz w:val="24"/>
                <w:szCs w:val="24"/>
              </w:rPr>
            </w:pPr>
            <w:r w:rsidRPr="00E554ED">
              <w:rPr>
                <w:rFonts w:cs="Arial"/>
                <w:b/>
                <w:sz w:val="24"/>
                <w:szCs w:val="24"/>
              </w:rPr>
              <w:t>YR</w:t>
            </w:r>
          </w:p>
        </w:tc>
        <w:tc>
          <w:tcPr>
            <w:tcW w:w="938" w:type="dxa"/>
            <w:shd w:val="pct20" w:color="auto" w:fill="auto"/>
          </w:tcPr>
          <w:p w:rsidR="00E554ED" w:rsidRPr="00E554ED" w:rsidRDefault="00E554ED" w:rsidP="00D332C6">
            <w:pPr>
              <w:rPr>
                <w:rFonts w:cs="Arial"/>
                <w:b/>
                <w:sz w:val="24"/>
                <w:szCs w:val="24"/>
              </w:rPr>
            </w:pPr>
            <w:r w:rsidRPr="00E554ED">
              <w:rPr>
                <w:rFonts w:cs="Arial"/>
                <w:b/>
                <w:sz w:val="24"/>
                <w:szCs w:val="24"/>
              </w:rPr>
              <w:t>Y1</w:t>
            </w:r>
          </w:p>
        </w:tc>
        <w:tc>
          <w:tcPr>
            <w:tcW w:w="938" w:type="dxa"/>
            <w:shd w:val="pct20" w:color="auto" w:fill="auto"/>
          </w:tcPr>
          <w:p w:rsidR="00E554ED" w:rsidRPr="00E554ED" w:rsidRDefault="00E554ED" w:rsidP="00D332C6">
            <w:pPr>
              <w:rPr>
                <w:rFonts w:cs="Arial"/>
                <w:b/>
                <w:sz w:val="24"/>
                <w:szCs w:val="24"/>
              </w:rPr>
            </w:pPr>
            <w:r w:rsidRPr="00E554ED">
              <w:rPr>
                <w:rFonts w:cs="Arial"/>
                <w:b/>
                <w:sz w:val="24"/>
                <w:szCs w:val="24"/>
              </w:rPr>
              <w:t>Y2</w:t>
            </w:r>
          </w:p>
        </w:tc>
        <w:tc>
          <w:tcPr>
            <w:tcW w:w="939" w:type="dxa"/>
            <w:shd w:val="pct20" w:color="auto" w:fill="auto"/>
          </w:tcPr>
          <w:p w:rsidR="00E554ED" w:rsidRPr="00E554ED" w:rsidRDefault="00E554ED" w:rsidP="00D332C6">
            <w:pPr>
              <w:rPr>
                <w:rFonts w:cs="Arial"/>
                <w:b/>
                <w:sz w:val="24"/>
                <w:szCs w:val="24"/>
              </w:rPr>
            </w:pPr>
            <w:r w:rsidRPr="00E554ED">
              <w:rPr>
                <w:rFonts w:cs="Arial"/>
                <w:b/>
                <w:sz w:val="24"/>
                <w:szCs w:val="24"/>
              </w:rPr>
              <w:t>Y3</w:t>
            </w:r>
          </w:p>
        </w:tc>
        <w:tc>
          <w:tcPr>
            <w:tcW w:w="939" w:type="dxa"/>
            <w:shd w:val="pct20" w:color="auto" w:fill="auto"/>
          </w:tcPr>
          <w:p w:rsidR="00E554ED" w:rsidRPr="00E554ED" w:rsidRDefault="00E554ED" w:rsidP="00D332C6">
            <w:pPr>
              <w:rPr>
                <w:rFonts w:cs="Arial"/>
                <w:b/>
                <w:sz w:val="24"/>
                <w:szCs w:val="24"/>
              </w:rPr>
            </w:pPr>
            <w:r w:rsidRPr="00E554ED">
              <w:rPr>
                <w:rFonts w:cs="Arial"/>
                <w:b/>
                <w:sz w:val="24"/>
                <w:szCs w:val="24"/>
              </w:rPr>
              <w:t>Y4</w:t>
            </w:r>
          </w:p>
        </w:tc>
        <w:tc>
          <w:tcPr>
            <w:tcW w:w="939" w:type="dxa"/>
            <w:shd w:val="pct20" w:color="auto" w:fill="auto"/>
          </w:tcPr>
          <w:p w:rsidR="00E554ED" w:rsidRPr="00E554ED" w:rsidRDefault="00E554ED" w:rsidP="00D332C6">
            <w:pPr>
              <w:rPr>
                <w:rFonts w:cs="Arial"/>
                <w:b/>
                <w:sz w:val="24"/>
                <w:szCs w:val="24"/>
              </w:rPr>
            </w:pPr>
            <w:r w:rsidRPr="00E554ED">
              <w:rPr>
                <w:rFonts w:cs="Arial"/>
                <w:b/>
                <w:sz w:val="24"/>
                <w:szCs w:val="24"/>
              </w:rPr>
              <w:t>Y5</w:t>
            </w:r>
          </w:p>
        </w:tc>
        <w:tc>
          <w:tcPr>
            <w:tcW w:w="939" w:type="dxa"/>
            <w:shd w:val="pct20" w:color="auto" w:fill="auto"/>
          </w:tcPr>
          <w:p w:rsidR="00E554ED" w:rsidRPr="00E554ED" w:rsidRDefault="00E554ED" w:rsidP="00D332C6">
            <w:pPr>
              <w:rPr>
                <w:rFonts w:cs="Arial"/>
                <w:b/>
                <w:sz w:val="24"/>
                <w:szCs w:val="24"/>
              </w:rPr>
            </w:pPr>
            <w:r w:rsidRPr="00E554ED">
              <w:rPr>
                <w:rFonts w:cs="Arial"/>
                <w:b/>
                <w:sz w:val="24"/>
                <w:szCs w:val="24"/>
              </w:rPr>
              <w:t>Y6</w:t>
            </w:r>
          </w:p>
        </w:tc>
        <w:tc>
          <w:tcPr>
            <w:tcW w:w="944" w:type="dxa"/>
            <w:shd w:val="pct20" w:color="auto" w:fill="auto"/>
          </w:tcPr>
          <w:p w:rsidR="00E554ED" w:rsidRPr="00E554ED" w:rsidRDefault="00E554ED" w:rsidP="00D332C6">
            <w:pPr>
              <w:rPr>
                <w:rFonts w:cs="Arial"/>
                <w:b/>
                <w:sz w:val="24"/>
                <w:szCs w:val="24"/>
              </w:rPr>
            </w:pPr>
            <w:r w:rsidRPr="00E554ED">
              <w:rPr>
                <w:rFonts w:cs="Arial"/>
                <w:b/>
                <w:sz w:val="24"/>
                <w:szCs w:val="24"/>
              </w:rPr>
              <w:t>Total</w:t>
            </w:r>
          </w:p>
        </w:tc>
      </w:tr>
      <w:tr w:rsidR="00E554ED" w:rsidRPr="00B70EFD" w:rsidTr="00766799">
        <w:tc>
          <w:tcPr>
            <w:tcW w:w="943" w:type="dxa"/>
          </w:tcPr>
          <w:p w:rsidR="00E554ED" w:rsidRPr="00E554ED" w:rsidRDefault="00E554ED" w:rsidP="00D332C6">
            <w:pPr>
              <w:rPr>
                <w:rFonts w:cs="Arial"/>
                <w:sz w:val="24"/>
                <w:szCs w:val="24"/>
              </w:rPr>
            </w:pPr>
            <w:r>
              <w:rPr>
                <w:rFonts w:cs="Arial"/>
                <w:sz w:val="24"/>
                <w:szCs w:val="24"/>
              </w:rPr>
              <w:t>2018</w:t>
            </w:r>
            <w:r w:rsidRPr="00E554ED">
              <w:rPr>
                <w:rFonts w:cs="Arial"/>
                <w:sz w:val="24"/>
                <w:szCs w:val="24"/>
              </w:rPr>
              <w:t>/1</w:t>
            </w:r>
            <w:r>
              <w:rPr>
                <w:rFonts w:cs="Arial"/>
                <w:sz w:val="24"/>
                <w:szCs w:val="24"/>
              </w:rPr>
              <w:t>9</w:t>
            </w:r>
          </w:p>
        </w:tc>
        <w:tc>
          <w:tcPr>
            <w:tcW w:w="939" w:type="dxa"/>
          </w:tcPr>
          <w:p w:rsidR="00E554ED" w:rsidRPr="00E554ED" w:rsidRDefault="00E554ED" w:rsidP="00D332C6">
            <w:pPr>
              <w:rPr>
                <w:rFonts w:cs="Arial"/>
                <w:sz w:val="24"/>
                <w:szCs w:val="24"/>
              </w:rPr>
            </w:pPr>
            <w:r w:rsidRPr="00E554ED">
              <w:rPr>
                <w:rFonts w:cs="Arial"/>
                <w:sz w:val="24"/>
                <w:szCs w:val="24"/>
              </w:rPr>
              <w:t>60</w:t>
            </w:r>
          </w:p>
        </w:tc>
        <w:tc>
          <w:tcPr>
            <w:tcW w:w="938" w:type="dxa"/>
          </w:tcPr>
          <w:p w:rsidR="00E554ED" w:rsidRPr="00E554ED" w:rsidRDefault="00E554ED" w:rsidP="00D332C6">
            <w:pPr>
              <w:rPr>
                <w:rFonts w:cs="Arial"/>
                <w:sz w:val="24"/>
                <w:szCs w:val="24"/>
              </w:rPr>
            </w:pPr>
            <w:r w:rsidRPr="00E554ED">
              <w:rPr>
                <w:rFonts w:cs="Arial"/>
                <w:sz w:val="24"/>
                <w:szCs w:val="24"/>
              </w:rPr>
              <w:t>60</w:t>
            </w:r>
          </w:p>
        </w:tc>
        <w:tc>
          <w:tcPr>
            <w:tcW w:w="938" w:type="dxa"/>
          </w:tcPr>
          <w:p w:rsidR="00E554ED" w:rsidRPr="00E554ED" w:rsidRDefault="00E554ED" w:rsidP="00D332C6">
            <w:pPr>
              <w:rPr>
                <w:rFonts w:cs="Arial"/>
                <w:sz w:val="24"/>
                <w:szCs w:val="24"/>
              </w:rPr>
            </w:pPr>
            <w:r w:rsidRPr="00E554ED">
              <w:rPr>
                <w:rFonts w:cs="Arial"/>
                <w:sz w:val="24"/>
                <w:szCs w:val="24"/>
              </w:rPr>
              <w:t>60</w:t>
            </w:r>
          </w:p>
        </w:tc>
        <w:tc>
          <w:tcPr>
            <w:tcW w:w="939" w:type="dxa"/>
          </w:tcPr>
          <w:p w:rsidR="00E554ED" w:rsidRPr="00E554ED" w:rsidRDefault="00E554ED" w:rsidP="00D332C6">
            <w:pPr>
              <w:rPr>
                <w:rFonts w:cs="Arial"/>
                <w:sz w:val="24"/>
                <w:szCs w:val="24"/>
              </w:rPr>
            </w:pPr>
            <w:r>
              <w:rPr>
                <w:rFonts w:cs="Arial"/>
                <w:sz w:val="24"/>
                <w:szCs w:val="24"/>
              </w:rPr>
              <w:t>120</w:t>
            </w:r>
          </w:p>
        </w:tc>
        <w:tc>
          <w:tcPr>
            <w:tcW w:w="939" w:type="dxa"/>
          </w:tcPr>
          <w:p w:rsidR="00E554ED" w:rsidRPr="00E554ED" w:rsidRDefault="00E554ED" w:rsidP="00D332C6">
            <w:pPr>
              <w:rPr>
                <w:rFonts w:cs="Arial"/>
                <w:sz w:val="24"/>
                <w:szCs w:val="24"/>
              </w:rPr>
            </w:pPr>
            <w:r>
              <w:rPr>
                <w:rFonts w:cs="Arial"/>
                <w:sz w:val="24"/>
                <w:szCs w:val="24"/>
              </w:rPr>
              <w:t>90</w:t>
            </w:r>
          </w:p>
        </w:tc>
        <w:tc>
          <w:tcPr>
            <w:tcW w:w="939" w:type="dxa"/>
          </w:tcPr>
          <w:p w:rsidR="00E554ED" w:rsidRPr="00E554ED" w:rsidRDefault="00E554ED" w:rsidP="00D332C6">
            <w:pPr>
              <w:rPr>
                <w:rFonts w:cs="Arial"/>
                <w:sz w:val="24"/>
                <w:szCs w:val="24"/>
              </w:rPr>
            </w:pPr>
            <w:r>
              <w:rPr>
                <w:rFonts w:cs="Arial"/>
                <w:sz w:val="24"/>
                <w:szCs w:val="24"/>
              </w:rPr>
              <w:t>90</w:t>
            </w:r>
          </w:p>
        </w:tc>
        <w:tc>
          <w:tcPr>
            <w:tcW w:w="939" w:type="dxa"/>
          </w:tcPr>
          <w:p w:rsidR="00E554ED" w:rsidRPr="00E554ED" w:rsidRDefault="00E554ED" w:rsidP="00D332C6">
            <w:pPr>
              <w:rPr>
                <w:rFonts w:cs="Arial"/>
                <w:sz w:val="24"/>
                <w:szCs w:val="24"/>
              </w:rPr>
            </w:pPr>
            <w:r>
              <w:rPr>
                <w:rFonts w:cs="Arial"/>
                <w:sz w:val="24"/>
                <w:szCs w:val="24"/>
              </w:rPr>
              <w:t>90</w:t>
            </w:r>
          </w:p>
        </w:tc>
        <w:tc>
          <w:tcPr>
            <w:tcW w:w="944" w:type="dxa"/>
          </w:tcPr>
          <w:p w:rsidR="00E554ED" w:rsidRPr="00E554ED" w:rsidRDefault="00E554ED" w:rsidP="00D332C6">
            <w:pPr>
              <w:rPr>
                <w:rFonts w:cs="Arial"/>
                <w:b/>
                <w:sz w:val="24"/>
                <w:szCs w:val="24"/>
              </w:rPr>
            </w:pPr>
            <w:r>
              <w:rPr>
                <w:rFonts w:cs="Arial"/>
                <w:b/>
                <w:sz w:val="24"/>
                <w:szCs w:val="24"/>
              </w:rPr>
              <w:t>570</w:t>
            </w:r>
          </w:p>
        </w:tc>
      </w:tr>
      <w:tr w:rsidR="00E554ED" w:rsidRPr="00B70EFD" w:rsidTr="00766799">
        <w:tc>
          <w:tcPr>
            <w:tcW w:w="943" w:type="dxa"/>
          </w:tcPr>
          <w:p w:rsidR="00E554ED" w:rsidRPr="00E554ED" w:rsidRDefault="00E554ED" w:rsidP="00D332C6">
            <w:pPr>
              <w:rPr>
                <w:rFonts w:cs="Arial"/>
                <w:sz w:val="24"/>
                <w:szCs w:val="24"/>
              </w:rPr>
            </w:pPr>
            <w:r>
              <w:rPr>
                <w:rFonts w:cs="Arial"/>
                <w:sz w:val="24"/>
                <w:szCs w:val="24"/>
              </w:rPr>
              <w:t>2019</w:t>
            </w:r>
            <w:r w:rsidRPr="00E554ED">
              <w:rPr>
                <w:rFonts w:cs="Arial"/>
                <w:sz w:val="24"/>
                <w:szCs w:val="24"/>
              </w:rPr>
              <w:t>/</w:t>
            </w:r>
            <w:r>
              <w:rPr>
                <w:rFonts w:cs="Arial"/>
                <w:sz w:val="24"/>
                <w:szCs w:val="24"/>
              </w:rPr>
              <w:t>20</w:t>
            </w:r>
          </w:p>
        </w:tc>
        <w:tc>
          <w:tcPr>
            <w:tcW w:w="939" w:type="dxa"/>
          </w:tcPr>
          <w:p w:rsidR="00E554ED" w:rsidRPr="00E554ED" w:rsidRDefault="00E554ED" w:rsidP="00D332C6">
            <w:pPr>
              <w:rPr>
                <w:rFonts w:cs="Arial"/>
                <w:sz w:val="24"/>
                <w:szCs w:val="24"/>
              </w:rPr>
            </w:pPr>
            <w:r w:rsidRPr="00E554ED">
              <w:rPr>
                <w:rFonts w:cs="Arial"/>
                <w:sz w:val="24"/>
                <w:szCs w:val="24"/>
              </w:rPr>
              <w:t>60</w:t>
            </w:r>
          </w:p>
        </w:tc>
        <w:tc>
          <w:tcPr>
            <w:tcW w:w="938" w:type="dxa"/>
          </w:tcPr>
          <w:p w:rsidR="00E554ED" w:rsidRPr="00E554ED" w:rsidRDefault="00E554ED" w:rsidP="00D332C6">
            <w:pPr>
              <w:rPr>
                <w:rFonts w:cs="Arial"/>
                <w:sz w:val="24"/>
                <w:szCs w:val="24"/>
              </w:rPr>
            </w:pPr>
            <w:r w:rsidRPr="00E554ED">
              <w:rPr>
                <w:rFonts w:cs="Arial"/>
                <w:sz w:val="24"/>
                <w:szCs w:val="24"/>
              </w:rPr>
              <w:t>60</w:t>
            </w:r>
          </w:p>
        </w:tc>
        <w:tc>
          <w:tcPr>
            <w:tcW w:w="938" w:type="dxa"/>
          </w:tcPr>
          <w:p w:rsidR="00E554ED" w:rsidRPr="00E554ED" w:rsidRDefault="00E554ED" w:rsidP="00D332C6">
            <w:pPr>
              <w:rPr>
                <w:rFonts w:cs="Arial"/>
                <w:sz w:val="24"/>
                <w:szCs w:val="24"/>
              </w:rPr>
            </w:pPr>
            <w:r w:rsidRPr="00E554ED">
              <w:rPr>
                <w:rFonts w:cs="Arial"/>
                <w:sz w:val="24"/>
                <w:szCs w:val="24"/>
              </w:rPr>
              <w:t>60</w:t>
            </w:r>
          </w:p>
        </w:tc>
        <w:tc>
          <w:tcPr>
            <w:tcW w:w="939" w:type="dxa"/>
          </w:tcPr>
          <w:p w:rsidR="00E554ED" w:rsidRPr="00E554ED" w:rsidRDefault="00E554ED" w:rsidP="00D332C6">
            <w:pPr>
              <w:rPr>
                <w:rFonts w:cs="Arial"/>
                <w:sz w:val="24"/>
                <w:szCs w:val="24"/>
              </w:rPr>
            </w:pPr>
            <w:r>
              <w:rPr>
                <w:rFonts w:cs="Arial"/>
                <w:sz w:val="24"/>
                <w:szCs w:val="24"/>
              </w:rPr>
              <w:t>120</w:t>
            </w:r>
          </w:p>
        </w:tc>
        <w:tc>
          <w:tcPr>
            <w:tcW w:w="939" w:type="dxa"/>
          </w:tcPr>
          <w:p w:rsidR="00E554ED" w:rsidRPr="00E554ED" w:rsidRDefault="00E554ED" w:rsidP="00D332C6">
            <w:pPr>
              <w:rPr>
                <w:rFonts w:cs="Arial"/>
                <w:sz w:val="24"/>
                <w:szCs w:val="24"/>
              </w:rPr>
            </w:pPr>
            <w:r>
              <w:rPr>
                <w:rFonts w:cs="Arial"/>
                <w:sz w:val="24"/>
                <w:szCs w:val="24"/>
              </w:rPr>
              <w:t>120</w:t>
            </w:r>
          </w:p>
        </w:tc>
        <w:tc>
          <w:tcPr>
            <w:tcW w:w="939" w:type="dxa"/>
          </w:tcPr>
          <w:p w:rsidR="00E554ED" w:rsidRPr="00E554ED" w:rsidRDefault="00E554ED" w:rsidP="00D332C6">
            <w:pPr>
              <w:rPr>
                <w:rFonts w:cs="Arial"/>
                <w:sz w:val="24"/>
                <w:szCs w:val="24"/>
              </w:rPr>
            </w:pPr>
            <w:r>
              <w:rPr>
                <w:rFonts w:cs="Arial"/>
                <w:sz w:val="24"/>
                <w:szCs w:val="24"/>
              </w:rPr>
              <w:t>90</w:t>
            </w:r>
          </w:p>
        </w:tc>
        <w:tc>
          <w:tcPr>
            <w:tcW w:w="939" w:type="dxa"/>
          </w:tcPr>
          <w:p w:rsidR="00E554ED" w:rsidRPr="00E554ED" w:rsidRDefault="00E554ED" w:rsidP="00D332C6">
            <w:pPr>
              <w:rPr>
                <w:rFonts w:cs="Arial"/>
                <w:sz w:val="24"/>
                <w:szCs w:val="24"/>
              </w:rPr>
            </w:pPr>
            <w:r>
              <w:rPr>
                <w:rFonts w:cs="Arial"/>
                <w:sz w:val="24"/>
                <w:szCs w:val="24"/>
              </w:rPr>
              <w:t>9</w:t>
            </w:r>
            <w:r w:rsidRPr="00E554ED">
              <w:rPr>
                <w:rFonts w:cs="Arial"/>
                <w:sz w:val="24"/>
                <w:szCs w:val="24"/>
              </w:rPr>
              <w:t>0</w:t>
            </w:r>
          </w:p>
        </w:tc>
        <w:tc>
          <w:tcPr>
            <w:tcW w:w="944" w:type="dxa"/>
          </w:tcPr>
          <w:p w:rsidR="00E554ED" w:rsidRPr="00E554ED" w:rsidRDefault="00E554ED" w:rsidP="00D332C6">
            <w:pPr>
              <w:rPr>
                <w:rFonts w:cs="Arial"/>
                <w:b/>
                <w:sz w:val="24"/>
                <w:szCs w:val="24"/>
              </w:rPr>
            </w:pPr>
            <w:r>
              <w:rPr>
                <w:rFonts w:cs="Arial"/>
                <w:b/>
                <w:sz w:val="24"/>
                <w:szCs w:val="24"/>
              </w:rPr>
              <w:t>600</w:t>
            </w:r>
          </w:p>
        </w:tc>
      </w:tr>
      <w:tr w:rsidR="00E554ED" w:rsidRPr="00B70EFD" w:rsidTr="00766799">
        <w:tc>
          <w:tcPr>
            <w:tcW w:w="943" w:type="dxa"/>
          </w:tcPr>
          <w:p w:rsidR="00E554ED" w:rsidRPr="00E554ED" w:rsidRDefault="00E554ED" w:rsidP="00D332C6">
            <w:pPr>
              <w:rPr>
                <w:rFonts w:cs="Arial"/>
                <w:sz w:val="24"/>
                <w:szCs w:val="24"/>
              </w:rPr>
            </w:pPr>
            <w:r>
              <w:rPr>
                <w:rFonts w:cs="Arial"/>
                <w:sz w:val="24"/>
                <w:szCs w:val="24"/>
              </w:rPr>
              <w:t>2020</w:t>
            </w:r>
            <w:r w:rsidRPr="00E554ED">
              <w:rPr>
                <w:rFonts w:cs="Arial"/>
                <w:sz w:val="24"/>
                <w:szCs w:val="24"/>
              </w:rPr>
              <w:t>/</w:t>
            </w:r>
            <w:r>
              <w:rPr>
                <w:rFonts w:cs="Arial"/>
                <w:sz w:val="24"/>
                <w:szCs w:val="24"/>
              </w:rPr>
              <w:t>21</w:t>
            </w:r>
          </w:p>
        </w:tc>
        <w:tc>
          <w:tcPr>
            <w:tcW w:w="939" w:type="dxa"/>
          </w:tcPr>
          <w:p w:rsidR="00E554ED" w:rsidRPr="00E554ED" w:rsidRDefault="00E554ED" w:rsidP="00D332C6">
            <w:pPr>
              <w:rPr>
                <w:rFonts w:cs="Arial"/>
                <w:sz w:val="24"/>
                <w:szCs w:val="24"/>
              </w:rPr>
            </w:pPr>
            <w:r w:rsidRPr="00E554ED">
              <w:rPr>
                <w:rFonts w:cs="Arial"/>
                <w:sz w:val="24"/>
                <w:szCs w:val="24"/>
              </w:rPr>
              <w:t>60</w:t>
            </w:r>
          </w:p>
        </w:tc>
        <w:tc>
          <w:tcPr>
            <w:tcW w:w="938" w:type="dxa"/>
          </w:tcPr>
          <w:p w:rsidR="00E554ED" w:rsidRPr="00E554ED" w:rsidRDefault="00E554ED" w:rsidP="00D332C6">
            <w:pPr>
              <w:rPr>
                <w:rFonts w:cs="Arial"/>
                <w:sz w:val="24"/>
                <w:szCs w:val="24"/>
              </w:rPr>
            </w:pPr>
            <w:r w:rsidRPr="00E554ED">
              <w:rPr>
                <w:rFonts w:cs="Arial"/>
                <w:sz w:val="24"/>
                <w:szCs w:val="24"/>
              </w:rPr>
              <w:t>60</w:t>
            </w:r>
          </w:p>
        </w:tc>
        <w:tc>
          <w:tcPr>
            <w:tcW w:w="938" w:type="dxa"/>
          </w:tcPr>
          <w:p w:rsidR="00E554ED" w:rsidRPr="00E554ED" w:rsidRDefault="00E554ED" w:rsidP="00D332C6">
            <w:pPr>
              <w:rPr>
                <w:rFonts w:cs="Arial"/>
                <w:sz w:val="24"/>
                <w:szCs w:val="24"/>
              </w:rPr>
            </w:pPr>
            <w:r w:rsidRPr="00E554ED">
              <w:rPr>
                <w:rFonts w:cs="Arial"/>
                <w:sz w:val="24"/>
                <w:szCs w:val="24"/>
              </w:rPr>
              <w:t>60</w:t>
            </w:r>
          </w:p>
        </w:tc>
        <w:tc>
          <w:tcPr>
            <w:tcW w:w="939" w:type="dxa"/>
          </w:tcPr>
          <w:p w:rsidR="00E554ED" w:rsidRPr="00E554ED" w:rsidRDefault="00E554ED" w:rsidP="00D332C6">
            <w:pPr>
              <w:rPr>
                <w:rFonts w:cs="Arial"/>
                <w:sz w:val="24"/>
                <w:szCs w:val="24"/>
              </w:rPr>
            </w:pPr>
            <w:r>
              <w:rPr>
                <w:rFonts w:cs="Arial"/>
                <w:sz w:val="24"/>
                <w:szCs w:val="24"/>
              </w:rPr>
              <w:t>120</w:t>
            </w:r>
          </w:p>
        </w:tc>
        <w:tc>
          <w:tcPr>
            <w:tcW w:w="939" w:type="dxa"/>
          </w:tcPr>
          <w:p w:rsidR="00E554ED" w:rsidRPr="00E554ED" w:rsidRDefault="00E554ED" w:rsidP="00D332C6">
            <w:pPr>
              <w:rPr>
                <w:rFonts w:cs="Arial"/>
                <w:sz w:val="24"/>
                <w:szCs w:val="24"/>
              </w:rPr>
            </w:pPr>
            <w:r>
              <w:rPr>
                <w:rFonts w:cs="Arial"/>
                <w:sz w:val="24"/>
                <w:szCs w:val="24"/>
              </w:rPr>
              <w:t>120</w:t>
            </w:r>
          </w:p>
        </w:tc>
        <w:tc>
          <w:tcPr>
            <w:tcW w:w="939" w:type="dxa"/>
          </w:tcPr>
          <w:p w:rsidR="00E554ED" w:rsidRPr="00E554ED" w:rsidRDefault="00E554ED" w:rsidP="00D332C6">
            <w:pPr>
              <w:rPr>
                <w:rFonts w:cs="Arial"/>
                <w:sz w:val="24"/>
                <w:szCs w:val="24"/>
              </w:rPr>
            </w:pPr>
            <w:r>
              <w:rPr>
                <w:rFonts w:cs="Arial"/>
                <w:sz w:val="24"/>
                <w:szCs w:val="24"/>
              </w:rPr>
              <w:t>120</w:t>
            </w:r>
          </w:p>
        </w:tc>
        <w:tc>
          <w:tcPr>
            <w:tcW w:w="939" w:type="dxa"/>
          </w:tcPr>
          <w:p w:rsidR="00E554ED" w:rsidRPr="00E554ED" w:rsidRDefault="00E554ED" w:rsidP="00D332C6">
            <w:pPr>
              <w:rPr>
                <w:rFonts w:cs="Arial"/>
                <w:sz w:val="24"/>
                <w:szCs w:val="24"/>
              </w:rPr>
            </w:pPr>
            <w:r>
              <w:rPr>
                <w:rFonts w:cs="Arial"/>
                <w:sz w:val="24"/>
                <w:szCs w:val="24"/>
              </w:rPr>
              <w:t>9</w:t>
            </w:r>
            <w:r w:rsidRPr="00E554ED">
              <w:rPr>
                <w:rFonts w:cs="Arial"/>
                <w:sz w:val="24"/>
                <w:szCs w:val="24"/>
              </w:rPr>
              <w:t>0</w:t>
            </w:r>
          </w:p>
        </w:tc>
        <w:tc>
          <w:tcPr>
            <w:tcW w:w="944" w:type="dxa"/>
          </w:tcPr>
          <w:p w:rsidR="00E554ED" w:rsidRPr="00E554ED" w:rsidRDefault="00E554ED" w:rsidP="00D332C6">
            <w:pPr>
              <w:rPr>
                <w:rFonts w:cs="Arial"/>
                <w:b/>
                <w:sz w:val="24"/>
                <w:szCs w:val="24"/>
              </w:rPr>
            </w:pPr>
            <w:r>
              <w:rPr>
                <w:rFonts w:cs="Arial"/>
                <w:b/>
                <w:sz w:val="24"/>
                <w:szCs w:val="24"/>
              </w:rPr>
              <w:t>630</w:t>
            </w:r>
          </w:p>
        </w:tc>
      </w:tr>
      <w:tr w:rsidR="00E554ED" w:rsidRPr="00B70EFD" w:rsidTr="00766799">
        <w:tc>
          <w:tcPr>
            <w:tcW w:w="943" w:type="dxa"/>
          </w:tcPr>
          <w:p w:rsidR="00E554ED" w:rsidRPr="00E554ED" w:rsidRDefault="00E554ED" w:rsidP="00D332C6">
            <w:pPr>
              <w:rPr>
                <w:rFonts w:cs="Arial"/>
                <w:sz w:val="24"/>
                <w:szCs w:val="24"/>
              </w:rPr>
            </w:pPr>
            <w:r>
              <w:rPr>
                <w:rFonts w:cs="Arial"/>
                <w:sz w:val="24"/>
                <w:szCs w:val="24"/>
              </w:rPr>
              <w:t>2021</w:t>
            </w:r>
            <w:r w:rsidRPr="00E554ED">
              <w:rPr>
                <w:rFonts w:cs="Arial"/>
                <w:sz w:val="24"/>
                <w:szCs w:val="24"/>
              </w:rPr>
              <w:t>/</w:t>
            </w:r>
            <w:r>
              <w:rPr>
                <w:rFonts w:cs="Arial"/>
                <w:sz w:val="24"/>
                <w:szCs w:val="24"/>
              </w:rPr>
              <w:t>22</w:t>
            </w:r>
          </w:p>
        </w:tc>
        <w:tc>
          <w:tcPr>
            <w:tcW w:w="939" w:type="dxa"/>
          </w:tcPr>
          <w:p w:rsidR="00E554ED" w:rsidRPr="00E554ED" w:rsidRDefault="00E554ED" w:rsidP="00D332C6">
            <w:pPr>
              <w:rPr>
                <w:rFonts w:cs="Arial"/>
                <w:sz w:val="24"/>
                <w:szCs w:val="24"/>
              </w:rPr>
            </w:pPr>
            <w:r w:rsidRPr="00E554ED">
              <w:rPr>
                <w:rFonts w:cs="Arial"/>
                <w:sz w:val="24"/>
                <w:szCs w:val="24"/>
              </w:rPr>
              <w:t>60</w:t>
            </w:r>
          </w:p>
        </w:tc>
        <w:tc>
          <w:tcPr>
            <w:tcW w:w="938" w:type="dxa"/>
          </w:tcPr>
          <w:p w:rsidR="00E554ED" w:rsidRPr="00E554ED" w:rsidRDefault="00E554ED" w:rsidP="00D332C6">
            <w:pPr>
              <w:rPr>
                <w:rFonts w:cs="Arial"/>
                <w:sz w:val="24"/>
                <w:szCs w:val="24"/>
              </w:rPr>
            </w:pPr>
            <w:r w:rsidRPr="00E554ED">
              <w:rPr>
                <w:rFonts w:cs="Arial"/>
                <w:sz w:val="24"/>
                <w:szCs w:val="24"/>
              </w:rPr>
              <w:t>60</w:t>
            </w:r>
          </w:p>
        </w:tc>
        <w:tc>
          <w:tcPr>
            <w:tcW w:w="938" w:type="dxa"/>
          </w:tcPr>
          <w:p w:rsidR="00E554ED" w:rsidRPr="00E554ED" w:rsidRDefault="00E554ED" w:rsidP="00D332C6">
            <w:pPr>
              <w:rPr>
                <w:rFonts w:cs="Arial"/>
                <w:sz w:val="24"/>
                <w:szCs w:val="24"/>
              </w:rPr>
            </w:pPr>
            <w:r w:rsidRPr="00E554ED">
              <w:rPr>
                <w:rFonts w:cs="Arial"/>
                <w:sz w:val="24"/>
                <w:szCs w:val="24"/>
              </w:rPr>
              <w:t>60</w:t>
            </w:r>
          </w:p>
        </w:tc>
        <w:tc>
          <w:tcPr>
            <w:tcW w:w="939" w:type="dxa"/>
          </w:tcPr>
          <w:p w:rsidR="00E554ED" w:rsidRPr="00E554ED" w:rsidRDefault="00E554ED" w:rsidP="00D332C6">
            <w:pPr>
              <w:rPr>
                <w:rFonts w:cs="Arial"/>
                <w:sz w:val="24"/>
                <w:szCs w:val="24"/>
              </w:rPr>
            </w:pPr>
            <w:r>
              <w:rPr>
                <w:rFonts w:cs="Arial"/>
                <w:sz w:val="24"/>
                <w:szCs w:val="24"/>
              </w:rPr>
              <w:t>12</w:t>
            </w:r>
            <w:r w:rsidRPr="00E554ED">
              <w:rPr>
                <w:rFonts w:cs="Arial"/>
                <w:sz w:val="24"/>
                <w:szCs w:val="24"/>
              </w:rPr>
              <w:t>0</w:t>
            </w:r>
          </w:p>
        </w:tc>
        <w:tc>
          <w:tcPr>
            <w:tcW w:w="939" w:type="dxa"/>
          </w:tcPr>
          <w:p w:rsidR="00E554ED" w:rsidRPr="00E554ED" w:rsidRDefault="00E554ED" w:rsidP="00D332C6">
            <w:pPr>
              <w:rPr>
                <w:rFonts w:cs="Arial"/>
                <w:sz w:val="24"/>
                <w:szCs w:val="24"/>
              </w:rPr>
            </w:pPr>
            <w:r>
              <w:rPr>
                <w:rFonts w:cs="Arial"/>
                <w:sz w:val="24"/>
                <w:szCs w:val="24"/>
              </w:rPr>
              <w:t>12</w:t>
            </w:r>
            <w:r w:rsidRPr="00E554ED">
              <w:rPr>
                <w:rFonts w:cs="Arial"/>
                <w:sz w:val="24"/>
                <w:szCs w:val="24"/>
              </w:rPr>
              <w:t>0</w:t>
            </w:r>
          </w:p>
        </w:tc>
        <w:tc>
          <w:tcPr>
            <w:tcW w:w="939" w:type="dxa"/>
          </w:tcPr>
          <w:p w:rsidR="00E554ED" w:rsidRPr="00E554ED" w:rsidRDefault="00E554ED" w:rsidP="00D332C6">
            <w:pPr>
              <w:rPr>
                <w:rFonts w:cs="Arial"/>
                <w:sz w:val="24"/>
                <w:szCs w:val="24"/>
              </w:rPr>
            </w:pPr>
            <w:r>
              <w:rPr>
                <w:rFonts w:cs="Arial"/>
                <w:sz w:val="24"/>
                <w:szCs w:val="24"/>
              </w:rPr>
              <w:t>12</w:t>
            </w:r>
            <w:r w:rsidRPr="00E554ED">
              <w:rPr>
                <w:rFonts w:cs="Arial"/>
                <w:sz w:val="24"/>
                <w:szCs w:val="24"/>
              </w:rPr>
              <w:t>0</w:t>
            </w:r>
          </w:p>
        </w:tc>
        <w:tc>
          <w:tcPr>
            <w:tcW w:w="939" w:type="dxa"/>
          </w:tcPr>
          <w:p w:rsidR="00E554ED" w:rsidRPr="00E554ED" w:rsidRDefault="00E554ED" w:rsidP="00D332C6">
            <w:pPr>
              <w:rPr>
                <w:rFonts w:cs="Arial"/>
                <w:sz w:val="24"/>
                <w:szCs w:val="24"/>
              </w:rPr>
            </w:pPr>
            <w:r>
              <w:rPr>
                <w:rFonts w:cs="Arial"/>
                <w:sz w:val="24"/>
                <w:szCs w:val="24"/>
              </w:rPr>
              <w:t>12</w:t>
            </w:r>
            <w:r w:rsidRPr="00E554ED">
              <w:rPr>
                <w:rFonts w:cs="Arial"/>
                <w:sz w:val="24"/>
                <w:szCs w:val="24"/>
              </w:rPr>
              <w:t>0</w:t>
            </w:r>
          </w:p>
        </w:tc>
        <w:tc>
          <w:tcPr>
            <w:tcW w:w="944" w:type="dxa"/>
          </w:tcPr>
          <w:p w:rsidR="00E554ED" w:rsidRPr="00E554ED" w:rsidRDefault="00E554ED" w:rsidP="00D332C6">
            <w:pPr>
              <w:rPr>
                <w:rFonts w:cs="Arial"/>
                <w:b/>
                <w:sz w:val="24"/>
                <w:szCs w:val="24"/>
              </w:rPr>
            </w:pPr>
            <w:r>
              <w:rPr>
                <w:rFonts w:cs="Arial"/>
                <w:b/>
                <w:sz w:val="24"/>
                <w:szCs w:val="24"/>
              </w:rPr>
              <w:t>660</w:t>
            </w:r>
          </w:p>
        </w:tc>
      </w:tr>
    </w:tbl>
    <w:p w:rsidR="00E554ED" w:rsidRPr="00F5342C" w:rsidRDefault="00E554ED" w:rsidP="007532FF">
      <w:pPr>
        <w:tabs>
          <w:tab w:val="left" w:pos="10206"/>
        </w:tabs>
        <w:ind w:right="-283"/>
        <w:rPr>
          <w:b/>
          <w:szCs w:val="24"/>
        </w:rPr>
      </w:pPr>
    </w:p>
    <w:p w:rsidR="006E4444" w:rsidRPr="000C0196" w:rsidRDefault="006E4444" w:rsidP="000C0196">
      <w:pPr>
        <w:tabs>
          <w:tab w:val="left" w:pos="10206"/>
        </w:tabs>
        <w:ind w:right="-283"/>
        <w:rPr>
          <w:b/>
          <w:sz w:val="32"/>
          <w:szCs w:val="32"/>
        </w:rPr>
      </w:pPr>
      <w:r w:rsidRPr="00E0436D">
        <w:rPr>
          <w:b/>
          <w:sz w:val="32"/>
          <w:szCs w:val="32"/>
        </w:rPr>
        <w:t>Rationale</w:t>
      </w:r>
    </w:p>
    <w:p w:rsidR="009352F7" w:rsidRPr="009352F7" w:rsidRDefault="009352F7" w:rsidP="00EE5B7C">
      <w:pPr>
        <w:tabs>
          <w:tab w:val="left" w:pos="10206"/>
        </w:tabs>
        <w:ind w:right="-283"/>
        <w:rPr>
          <w:rFonts w:cs="Helv"/>
          <w:color w:val="000000"/>
          <w:szCs w:val="24"/>
        </w:rPr>
      </w:pPr>
    </w:p>
    <w:p w:rsidR="00837BAE" w:rsidRDefault="00837BAE" w:rsidP="00745FF6">
      <w:pPr>
        <w:pStyle w:val="ListParagraph"/>
        <w:numPr>
          <w:ilvl w:val="0"/>
          <w:numId w:val="19"/>
        </w:numPr>
        <w:tabs>
          <w:tab w:val="left" w:pos="10206"/>
        </w:tabs>
        <w:ind w:right="-283"/>
        <w:rPr>
          <w:rFonts w:cs="Helv"/>
          <w:color w:val="000000"/>
          <w:szCs w:val="24"/>
        </w:rPr>
      </w:pPr>
      <w:r>
        <w:rPr>
          <w:rFonts w:cs="Helv"/>
          <w:color w:val="000000"/>
          <w:szCs w:val="24"/>
        </w:rPr>
        <w:t xml:space="preserve">The combination of the schools’ proximity and the current arrangement of sharing a Headteacher both make this proposal </w:t>
      </w:r>
      <w:r w:rsidR="00D332C6">
        <w:rPr>
          <w:rFonts w:cs="Helv"/>
          <w:color w:val="000000"/>
          <w:szCs w:val="24"/>
        </w:rPr>
        <w:t>the next</w:t>
      </w:r>
      <w:r>
        <w:rPr>
          <w:rFonts w:cs="Helv"/>
          <w:color w:val="000000"/>
          <w:szCs w:val="24"/>
        </w:rPr>
        <w:t xml:space="preserve"> logical step in </w:t>
      </w:r>
      <w:r w:rsidR="00C8330A">
        <w:rPr>
          <w:rFonts w:cs="Helv"/>
          <w:color w:val="000000"/>
          <w:szCs w:val="24"/>
        </w:rPr>
        <w:t>the development of the educational offer at these schools. The closer working brought about by the shared Headteacher function has already had benefits across both schools and it is felt that these will be augmented under the current proposal. In particular, it is expected</w:t>
      </w:r>
      <w:r w:rsidR="00D332C6">
        <w:rPr>
          <w:rFonts w:cs="Helv"/>
          <w:color w:val="000000"/>
          <w:szCs w:val="24"/>
        </w:rPr>
        <w:t xml:space="preserve"> that the new school will, by virtue of its scale, be significantly more cost-effective to operate than two distinct institutions (e.g. with respect to shared procurement/contracts etc.) and this, in turn, will make the school more sustainable in the long-term.</w:t>
      </w:r>
      <w:r w:rsidR="002C1263">
        <w:rPr>
          <w:rFonts w:cs="Helv"/>
          <w:color w:val="000000"/>
          <w:szCs w:val="24"/>
        </w:rPr>
        <w:t xml:space="preserve"> Additionally, it is expected that the education benefits that have already been generated through a broader, shared staff base will continue to be built on and developed.</w:t>
      </w:r>
    </w:p>
    <w:p w:rsidR="00D332C6" w:rsidRPr="00D332C6" w:rsidRDefault="00D332C6" w:rsidP="00D332C6">
      <w:pPr>
        <w:tabs>
          <w:tab w:val="left" w:pos="10206"/>
        </w:tabs>
        <w:ind w:left="142" w:right="-283"/>
        <w:rPr>
          <w:rFonts w:cs="Helv"/>
          <w:color w:val="000000"/>
          <w:szCs w:val="24"/>
        </w:rPr>
      </w:pPr>
    </w:p>
    <w:p w:rsidR="00D332C6" w:rsidRDefault="00D332C6" w:rsidP="00745FF6">
      <w:pPr>
        <w:pStyle w:val="ListParagraph"/>
        <w:numPr>
          <w:ilvl w:val="0"/>
          <w:numId w:val="19"/>
        </w:numPr>
        <w:tabs>
          <w:tab w:val="left" w:pos="10206"/>
        </w:tabs>
        <w:ind w:right="-283"/>
        <w:rPr>
          <w:rFonts w:cs="Helv"/>
          <w:color w:val="000000"/>
          <w:szCs w:val="24"/>
        </w:rPr>
      </w:pPr>
      <w:r>
        <w:rPr>
          <w:rFonts w:cs="Helv"/>
          <w:color w:val="000000"/>
          <w:szCs w:val="24"/>
        </w:rPr>
        <w:t>St Mary’s has been chosen as the institution to retain for a number of reasons, principal amongst which was the fact that it was felt that it was necessary to retain Diocesan provision in the locality, in order to ensure a diversity of provision</w:t>
      </w:r>
      <w:r w:rsidR="00766799">
        <w:rPr>
          <w:rFonts w:cs="Helv"/>
          <w:color w:val="000000"/>
          <w:szCs w:val="24"/>
        </w:rPr>
        <w:t>, especially at KS2</w:t>
      </w:r>
      <w:r>
        <w:rPr>
          <w:rFonts w:cs="Helv"/>
          <w:color w:val="000000"/>
          <w:szCs w:val="24"/>
        </w:rPr>
        <w:t xml:space="preserve"> (Oxted will continue to be well served by the area’s other Community Schools). In addition, St. Mary’s ‘Outstanding’ Ofsted judgement will be retained by the new institution, which will add significant value in terms of the future development of the school.</w:t>
      </w:r>
    </w:p>
    <w:p w:rsidR="00C8330A" w:rsidRPr="00837BAE" w:rsidRDefault="00C8330A" w:rsidP="00D332C6">
      <w:pPr>
        <w:tabs>
          <w:tab w:val="left" w:pos="10206"/>
        </w:tabs>
        <w:ind w:right="-283"/>
        <w:rPr>
          <w:rFonts w:cs="Helv"/>
          <w:color w:val="000000"/>
          <w:szCs w:val="24"/>
        </w:rPr>
      </w:pPr>
    </w:p>
    <w:p w:rsidR="00D332C6" w:rsidRDefault="00910D38" w:rsidP="00910D38">
      <w:pPr>
        <w:pStyle w:val="ListParagraph"/>
        <w:numPr>
          <w:ilvl w:val="0"/>
          <w:numId w:val="19"/>
        </w:numPr>
        <w:tabs>
          <w:tab w:val="left" w:pos="10206"/>
        </w:tabs>
        <w:ind w:right="-283"/>
        <w:rPr>
          <w:rFonts w:cs="Helv"/>
          <w:color w:val="000000"/>
          <w:szCs w:val="24"/>
        </w:rPr>
      </w:pPr>
      <w:r>
        <w:rPr>
          <w:rFonts w:cs="Helv"/>
          <w:color w:val="000000"/>
          <w:szCs w:val="24"/>
        </w:rPr>
        <w:t>The expansion of the school’s KS2 provision is underpinned by a steady increase in the demand for schools places in Oxted</w:t>
      </w:r>
      <w:r w:rsidR="00631270">
        <w:rPr>
          <w:rFonts w:cs="Helv"/>
          <w:color w:val="000000"/>
          <w:szCs w:val="24"/>
        </w:rPr>
        <w:t xml:space="preserve"> &amp; Limpsfield. Within this area, there is presently provision for 150 places per year in Year 3, composed of the following:</w:t>
      </w:r>
    </w:p>
    <w:p w:rsidR="00631270" w:rsidRDefault="00631270" w:rsidP="00631270">
      <w:pPr>
        <w:pStyle w:val="ListParagraph"/>
        <w:rPr>
          <w:rFonts w:cs="Helv"/>
          <w:color w:val="000000"/>
          <w:szCs w:val="24"/>
        </w:rPr>
      </w:pPr>
      <w:r>
        <w:rPr>
          <w:rFonts w:cs="Helv"/>
          <w:color w:val="000000"/>
          <w:szCs w:val="24"/>
        </w:rPr>
        <w:t>Holland Junior School</w:t>
      </w:r>
      <w:r w:rsidR="00766799">
        <w:rPr>
          <w:rFonts w:cs="Helv"/>
          <w:color w:val="000000"/>
          <w:szCs w:val="24"/>
        </w:rPr>
        <w:t xml:space="preserve"> (offering 60 Year 3 places per annum); and</w:t>
      </w:r>
    </w:p>
    <w:p w:rsidR="00766799" w:rsidRPr="00631270" w:rsidRDefault="00766799" w:rsidP="00631270">
      <w:pPr>
        <w:pStyle w:val="ListParagraph"/>
        <w:rPr>
          <w:rFonts w:cs="Helv"/>
          <w:color w:val="000000"/>
          <w:szCs w:val="24"/>
        </w:rPr>
      </w:pPr>
      <w:r>
        <w:rPr>
          <w:rFonts w:cs="Helv"/>
          <w:color w:val="000000"/>
          <w:szCs w:val="24"/>
        </w:rPr>
        <w:lastRenderedPageBreak/>
        <w:t>St. Mary’s C of E Junior School (offering 90 Year 3 places per annum).</w:t>
      </w:r>
    </w:p>
    <w:p w:rsidR="008E145C" w:rsidRPr="00A54A2B" w:rsidRDefault="008E145C" w:rsidP="008E145C">
      <w:pPr>
        <w:pStyle w:val="Text"/>
        <w:rPr>
          <w:rFonts w:cs="Arial"/>
        </w:rPr>
      </w:pPr>
    </w:p>
    <w:p w:rsidR="008E145C" w:rsidRPr="00766799" w:rsidRDefault="008E145C" w:rsidP="00766799">
      <w:pPr>
        <w:pStyle w:val="ListParagraph"/>
        <w:numPr>
          <w:ilvl w:val="0"/>
          <w:numId w:val="19"/>
        </w:numPr>
        <w:rPr>
          <w:rFonts w:cs="Arial"/>
        </w:rPr>
      </w:pPr>
      <w:r w:rsidRPr="00766799">
        <w:rPr>
          <w:rFonts w:cs="Arial"/>
        </w:rPr>
        <w:t>Projections of future demand for school places</w:t>
      </w:r>
      <w:r w:rsidR="00766799">
        <w:rPr>
          <w:rFonts w:cs="Arial"/>
        </w:rPr>
        <w:t xml:space="preserve"> in this area</w:t>
      </w:r>
      <w:r w:rsidRPr="00766799">
        <w:rPr>
          <w:rFonts w:cs="Arial"/>
        </w:rPr>
        <w:t xml:space="preserve"> are presented in the below table:</w:t>
      </w:r>
    </w:p>
    <w:p w:rsidR="008E145C" w:rsidRDefault="008E145C" w:rsidP="008E145C">
      <w:pPr>
        <w:rPr>
          <w:rFonts w:cs="Arial"/>
        </w:rPr>
      </w:pPr>
    </w:p>
    <w:tbl>
      <w:tblPr>
        <w:tblStyle w:val="TableGrid"/>
        <w:tblW w:w="0" w:type="auto"/>
        <w:tblInd w:w="675" w:type="dxa"/>
        <w:tblLook w:val="04A0"/>
      </w:tblPr>
      <w:tblGrid>
        <w:gridCol w:w="1084"/>
        <w:gridCol w:w="1313"/>
        <w:gridCol w:w="1390"/>
        <w:gridCol w:w="1313"/>
      </w:tblGrid>
      <w:tr w:rsidR="00766799" w:rsidTr="00FB61C2">
        <w:tc>
          <w:tcPr>
            <w:tcW w:w="1084" w:type="dxa"/>
            <w:shd w:val="pct20" w:color="auto" w:fill="auto"/>
          </w:tcPr>
          <w:p w:rsidR="00766799" w:rsidRPr="00766799" w:rsidRDefault="00766799" w:rsidP="00631270">
            <w:pPr>
              <w:rPr>
                <w:rFonts w:cs="Arial"/>
                <w:b/>
                <w:sz w:val="24"/>
                <w:szCs w:val="24"/>
              </w:rPr>
            </w:pPr>
            <w:r w:rsidRPr="00766799">
              <w:rPr>
                <w:rFonts w:cs="Arial"/>
                <w:b/>
                <w:sz w:val="24"/>
                <w:szCs w:val="24"/>
              </w:rPr>
              <w:t>Year</w:t>
            </w:r>
          </w:p>
        </w:tc>
        <w:tc>
          <w:tcPr>
            <w:tcW w:w="1313" w:type="dxa"/>
            <w:shd w:val="pct20" w:color="auto" w:fill="auto"/>
          </w:tcPr>
          <w:p w:rsidR="00766799" w:rsidRPr="00766799" w:rsidRDefault="00766799" w:rsidP="00631270">
            <w:pPr>
              <w:rPr>
                <w:rFonts w:cs="Arial"/>
                <w:b/>
                <w:sz w:val="24"/>
                <w:szCs w:val="24"/>
              </w:rPr>
            </w:pPr>
            <w:r w:rsidRPr="00766799">
              <w:rPr>
                <w:rFonts w:cs="Arial"/>
                <w:b/>
                <w:sz w:val="24"/>
                <w:szCs w:val="24"/>
              </w:rPr>
              <w:t>Jun. PAN</w:t>
            </w:r>
          </w:p>
        </w:tc>
        <w:tc>
          <w:tcPr>
            <w:tcW w:w="1390" w:type="dxa"/>
            <w:shd w:val="pct20" w:color="auto" w:fill="auto"/>
          </w:tcPr>
          <w:p w:rsidR="00766799" w:rsidRPr="00766799" w:rsidRDefault="00766799" w:rsidP="00631270">
            <w:pPr>
              <w:rPr>
                <w:rFonts w:cs="Arial"/>
                <w:b/>
                <w:sz w:val="24"/>
                <w:szCs w:val="24"/>
              </w:rPr>
            </w:pPr>
            <w:r w:rsidRPr="00766799">
              <w:rPr>
                <w:rFonts w:cs="Arial"/>
                <w:b/>
                <w:sz w:val="24"/>
                <w:szCs w:val="24"/>
              </w:rPr>
              <w:t>Jun. Projection</w:t>
            </w:r>
          </w:p>
        </w:tc>
        <w:tc>
          <w:tcPr>
            <w:tcW w:w="1313" w:type="dxa"/>
            <w:shd w:val="pct20" w:color="auto" w:fill="auto"/>
          </w:tcPr>
          <w:p w:rsidR="00766799" w:rsidRPr="00766799" w:rsidRDefault="00766799" w:rsidP="00631270">
            <w:pPr>
              <w:rPr>
                <w:rFonts w:cs="Arial"/>
                <w:b/>
                <w:sz w:val="24"/>
                <w:szCs w:val="24"/>
              </w:rPr>
            </w:pPr>
            <w:r w:rsidRPr="00766799">
              <w:rPr>
                <w:rFonts w:cs="Arial"/>
                <w:b/>
                <w:sz w:val="24"/>
                <w:szCs w:val="24"/>
              </w:rPr>
              <w:t>Surplus</w:t>
            </w:r>
          </w:p>
        </w:tc>
      </w:tr>
      <w:tr w:rsidR="00766799" w:rsidTr="00FB61C2">
        <w:tc>
          <w:tcPr>
            <w:tcW w:w="1084" w:type="dxa"/>
          </w:tcPr>
          <w:p w:rsidR="00766799" w:rsidRPr="00766799" w:rsidRDefault="00766799" w:rsidP="00631270">
            <w:pPr>
              <w:rPr>
                <w:rFonts w:cs="Arial"/>
                <w:sz w:val="24"/>
                <w:szCs w:val="24"/>
              </w:rPr>
            </w:pPr>
            <w:r w:rsidRPr="00766799">
              <w:rPr>
                <w:rFonts w:cs="Arial"/>
                <w:sz w:val="24"/>
                <w:szCs w:val="24"/>
              </w:rPr>
              <w:t>2016/17</w:t>
            </w:r>
          </w:p>
        </w:tc>
        <w:tc>
          <w:tcPr>
            <w:tcW w:w="1313" w:type="dxa"/>
          </w:tcPr>
          <w:p w:rsidR="00766799" w:rsidRPr="00766799" w:rsidRDefault="00766799" w:rsidP="00631270">
            <w:pPr>
              <w:rPr>
                <w:rFonts w:cs="Arial"/>
                <w:sz w:val="24"/>
                <w:szCs w:val="24"/>
              </w:rPr>
            </w:pPr>
            <w:r w:rsidRPr="00766799">
              <w:rPr>
                <w:rFonts w:cs="Arial"/>
                <w:sz w:val="24"/>
                <w:szCs w:val="24"/>
              </w:rPr>
              <w:t>150</w:t>
            </w:r>
          </w:p>
        </w:tc>
        <w:tc>
          <w:tcPr>
            <w:tcW w:w="1390" w:type="dxa"/>
          </w:tcPr>
          <w:p w:rsidR="00766799" w:rsidRPr="00766799" w:rsidRDefault="00FB61C2" w:rsidP="00631270">
            <w:pPr>
              <w:rPr>
                <w:rFonts w:cs="Arial"/>
                <w:sz w:val="24"/>
                <w:szCs w:val="24"/>
              </w:rPr>
            </w:pPr>
            <w:r>
              <w:rPr>
                <w:rFonts w:cs="Arial"/>
                <w:sz w:val="24"/>
                <w:szCs w:val="24"/>
              </w:rPr>
              <w:t>137</w:t>
            </w:r>
          </w:p>
        </w:tc>
        <w:tc>
          <w:tcPr>
            <w:tcW w:w="1313" w:type="dxa"/>
          </w:tcPr>
          <w:p w:rsidR="00766799" w:rsidRPr="00766799" w:rsidRDefault="00FB61C2" w:rsidP="00631270">
            <w:pPr>
              <w:rPr>
                <w:rFonts w:cs="Arial"/>
                <w:sz w:val="24"/>
                <w:szCs w:val="24"/>
              </w:rPr>
            </w:pPr>
            <w:r>
              <w:rPr>
                <w:rFonts w:cs="Arial"/>
                <w:sz w:val="24"/>
                <w:szCs w:val="24"/>
              </w:rPr>
              <w:t>13</w:t>
            </w:r>
          </w:p>
        </w:tc>
      </w:tr>
      <w:tr w:rsidR="00766799" w:rsidTr="00FB61C2">
        <w:tc>
          <w:tcPr>
            <w:tcW w:w="1084" w:type="dxa"/>
          </w:tcPr>
          <w:p w:rsidR="00766799" w:rsidRPr="00766799" w:rsidRDefault="00766799" w:rsidP="00631270">
            <w:pPr>
              <w:rPr>
                <w:rFonts w:cs="Arial"/>
                <w:sz w:val="24"/>
                <w:szCs w:val="24"/>
              </w:rPr>
            </w:pPr>
            <w:r w:rsidRPr="00766799">
              <w:rPr>
                <w:rFonts w:cs="Arial"/>
                <w:sz w:val="24"/>
                <w:szCs w:val="24"/>
              </w:rPr>
              <w:t>2017/18</w:t>
            </w:r>
          </w:p>
        </w:tc>
        <w:tc>
          <w:tcPr>
            <w:tcW w:w="1313" w:type="dxa"/>
          </w:tcPr>
          <w:p w:rsidR="00766799" w:rsidRPr="00766799" w:rsidRDefault="00766799" w:rsidP="00631270">
            <w:pPr>
              <w:rPr>
                <w:rFonts w:cs="Arial"/>
                <w:sz w:val="24"/>
                <w:szCs w:val="24"/>
              </w:rPr>
            </w:pPr>
            <w:r w:rsidRPr="00766799">
              <w:rPr>
                <w:rFonts w:cs="Arial"/>
                <w:sz w:val="24"/>
                <w:szCs w:val="24"/>
              </w:rPr>
              <w:t>150</w:t>
            </w:r>
          </w:p>
        </w:tc>
        <w:tc>
          <w:tcPr>
            <w:tcW w:w="1390" w:type="dxa"/>
          </w:tcPr>
          <w:p w:rsidR="00766799" w:rsidRPr="00766799" w:rsidRDefault="00FB61C2" w:rsidP="00631270">
            <w:pPr>
              <w:rPr>
                <w:rFonts w:cs="Arial"/>
                <w:sz w:val="24"/>
                <w:szCs w:val="24"/>
              </w:rPr>
            </w:pPr>
            <w:r>
              <w:rPr>
                <w:rFonts w:cs="Arial"/>
                <w:sz w:val="24"/>
                <w:szCs w:val="24"/>
              </w:rPr>
              <w:t>141</w:t>
            </w:r>
          </w:p>
        </w:tc>
        <w:tc>
          <w:tcPr>
            <w:tcW w:w="1313" w:type="dxa"/>
          </w:tcPr>
          <w:p w:rsidR="00766799" w:rsidRPr="00766799" w:rsidRDefault="00FB61C2" w:rsidP="00631270">
            <w:pPr>
              <w:rPr>
                <w:rFonts w:cs="Arial"/>
                <w:sz w:val="24"/>
                <w:szCs w:val="24"/>
              </w:rPr>
            </w:pPr>
            <w:r>
              <w:rPr>
                <w:rFonts w:cs="Arial"/>
                <w:sz w:val="24"/>
                <w:szCs w:val="24"/>
              </w:rPr>
              <w:t>9</w:t>
            </w:r>
          </w:p>
        </w:tc>
      </w:tr>
      <w:tr w:rsidR="00766799" w:rsidTr="00FB61C2">
        <w:tc>
          <w:tcPr>
            <w:tcW w:w="1084" w:type="dxa"/>
          </w:tcPr>
          <w:p w:rsidR="00766799" w:rsidRPr="00766799" w:rsidRDefault="00766799" w:rsidP="00631270">
            <w:pPr>
              <w:rPr>
                <w:rFonts w:cs="Arial"/>
                <w:sz w:val="24"/>
                <w:szCs w:val="24"/>
              </w:rPr>
            </w:pPr>
            <w:r w:rsidRPr="00766799">
              <w:rPr>
                <w:rFonts w:cs="Arial"/>
                <w:sz w:val="24"/>
                <w:szCs w:val="24"/>
              </w:rPr>
              <w:t>2018/19</w:t>
            </w:r>
          </w:p>
        </w:tc>
        <w:tc>
          <w:tcPr>
            <w:tcW w:w="1313" w:type="dxa"/>
          </w:tcPr>
          <w:p w:rsidR="00766799" w:rsidRPr="00766799" w:rsidRDefault="00766799" w:rsidP="00631270">
            <w:pPr>
              <w:rPr>
                <w:rFonts w:cs="Arial"/>
                <w:sz w:val="24"/>
                <w:szCs w:val="24"/>
              </w:rPr>
            </w:pPr>
            <w:r w:rsidRPr="00766799">
              <w:rPr>
                <w:rFonts w:cs="Arial"/>
                <w:sz w:val="24"/>
                <w:szCs w:val="24"/>
              </w:rPr>
              <w:t>150</w:t>
            </w:r>
          </w:p>
        </w:tc>
        <w:tc>
          <w:tcPr>
            <w:tcW w:w="1390" w:type="dxa"/>
          </w:tcPr>
          <w:p w:rsidR="00766799" w:rsidRPr="00766799" w:rsidRDefault="00FB61C2" w:rsidP="00631270">
            <w:pPr>
              <w:rPr>
                <w:rFonts w:cs="Arial"/>
                <w:sz w:val="24"/>
                <w:szCs w:val="24"/>
              </w:rPr>
            </w:pPr>
            <w:r>
              <w:rPr>
                <w:rFonts w:cs="Arial"/>
                <w:sz w:val="24"/>
                <w:szCs w:val="24"/>
              </w:rPr>
              <w:t>161</w:t>
            </w:r>
          </w:p>
        </w:tc>
        <w:tc>
          <w:tcPr>
            <w:tcW w:w="1313" w:type="dxa"/>
          </w:tcPr>
          <w:p w:rsidR="00766799" w:rsidRPr="00FB61C2" w:rsidRDefault="00FB61C2" w:rsidP="00FB61C2">
            <w:pPr>
              <w:rPr>
                <w:rFonts w:cs="Arial"/>
                <w:color w:val="FF0000"/>
                <w:szCs w:val="24"/>
              </w:rPr>
            </w:pPr>
            <w:r w:rsidRPr="00FB61C2">
              <w:rPr>
                <w:rFonts w:cs="Arial"/>
                <w:color w:val="FF0000"/>
                <w:szCs w:val="24"/>
              </w:rPr>
              <w:t>- 11</w:t>
            </w:r>
          </w:p>
        </w:tc>
      </w:tr>
      <w:tr w:rsidR="00766799" w:rsidTr="00FB61C2">
        <w:tc>
          <w:tcPr>
            <w:tcW w:w="1084" w:type="dxa"/>
          </w:tcPr>
          <w:p w:rsidR="00766799" w:rsidRPr="00766799" w:rsidRDefault="00766799" w:rsidP="00631270">
            <w:pPr>
              <w:rPr>
                <w:rFonts w:cs="Arial"/>
                <w:sz w:val="24"/>
                <w:szCs w:val="24"/>
              </w:rPr>
            </w:pPr>
            <w:r w:rsidRPr="00766799">
              <w:rPr>
                <w:rFonts w:cs="Arial"/>
                <w:sz w:val="24"/>
                <w:szCs w:val="24"/>
              </w:rPr>
              <w:t>2019/20</w:t>
            </w:r>
          </w:p>
        </w:tc>
        <w:tc>
          <w:tcPr>
            <w:tcW w:w="1313" w:type="dxa"/>
          </w:tcPr>
          <w:p w:rsidR="00766799" w:rsidRPr="00766799" w:rsidRDefault="00766799" w:rsidP="00631270">
            <w:pPr>
              <w:rPr>
                <w:rFonts w:cs="Arial"/>
                <w:sz w:val="24"/>
                <w:szCs w:val="24"/>
              </w:rPr>
            </w:pPr>
            <w:r w:rsidRPr="00766799">
              <w:rPr>
                <w:rFonts w:cs="Arial"/>
                <w:sz w:val="24"/>
                <w:szCs w:val="24"/>
              </w:rPr>
              <w:t>150</w:t>
            </w:r>
          </w:p>
        </w:tc>
        <w:tc>
          <w:tcPr>
            <w:tcW w:w="1390" w:type="dxa"/>
          </w:tcPr>
          <w:p w:rsidR="00766799" w:rsidRPr="00766799" w:rsidRDefault="00FB61C2" w:rsidP="00631270">
            <w:pPr>
              <w:rPr>
                <w:rFonts w:cs="Arial"/>
                <w:sz w:val="24"/>
                <w:szCs w:val="24"/>
              </w:rPr>
            </w:pPr>
            <w:r>
              <w:rPr>
                <w:rFonts w:cs="Arial"/>
                <w:sz w:val="24"/>
                <w:szCs w:val="24"/>
              </w:rPr>
              <w:t>171</w:t>
            </w:r>
          </w:p>
        </w:tc>
        <w:tc>
          <w:tcPr>
            <w:tcW w:w="1313" w:type="dxa"/>
          </w:tcPr>
          <w:p w:rsidR="00766799" w:rsidRPr="00FB61C2" w:rsidRDefault="00FB61C2" w:rsidP="00FB61C2">
            <w:pPr>
              <w:rPr>
                <w:rFonts w:cs="Arial"/>
                <w:color w:val="FF0000"/>
                <w:szCs w:val="24"/>
              </w:rPr>
            </w:pPr>
            <w:r w:rsidRPr="00FB61C2">
              <w:rPr>
                <w:rFonts w:cs="Arial"/>
                <w:color w:val="FF0000"/>
                <w:szCs w:val="24"/>
              </w:rPr>
              <w:t>- 21</w:t>
            </w:r>
          </w:p>
        </w:tc>
      </w:tr>
      <w:tr w:rsidR="00766799" w:rsidTr="00FB61C2">
        <w:tc>
          <w:tcPr>
            <w:tcW w:w="1084" w:type="dxa"/>
          </w:tcPr>
          <w:p w:rsidR="00766799" w:rsidRPr="00766799" w:rsidRDefault="00766799" w:rsidP="00631270">
            <w:pPr>
              <w:rPr>
                <w:rFonts w:cs="Arial"/>
                <w:sz w:val="24"/>
                <w:szCs w:val="24"/>
              </w:rPr>
            </w:pPr>
            <w:r w:rsidRPr="00766799">
              <w:rPr>
                <w:rFonts w:cs="Arial"/>
                <w:sz w:val="24"/>
                <w:szCs w:val="24"/>
              </w:rPr>
              <w:t>2020/21</w:t>
            </w:r>
          </w:p>
        </w:tc>
        <w:tc>
          <w:tcPr>
            <w:tcW w:w="1313" w:type="dxa"/>
          </w:tcPr>
          <w:p w:rsidR="00766799" w:rsidRPr="00766799" w:rsidRDefault="00766799" w:rsidP="00631270">
            <w:pPr>
              <w:rPr>
                <w:rFonts w:cs="Arial"/>
                <w:sz w:val="24"/>
                <w:szCs w:val="24"/>
              </w:rPr>
            </w:pPr>
            <w:r w:rsidRPr="00766799">
              <w:rPr>
                <w:rFonts w:cs="Arial"/>
                <w:sz w:val="24"/>
                <w:szCs w:val="24"/>
              </w:rPr>
              <w:t>150</w:t>
            </w:r>
          </w:p>
        </w:tc>
        <w:tc>
          <w:tcPr>
            <w:tcW w:w="1390" w:type="dxa"/>
          </w:tcPr>
          <w:p w:rsidR="00766799" w:rsidRPr="00766799" w:rsidRDefault="00FB61C2" w:rsidP="00631270">
            <w:pPr>
              <w:rPr>
                <w:rFonts w:cs="Arial"/>
                <w:sz w:val="24"/>
                <w:szCs w:val="24"/>
              </w:rPr>
            </w:pPr>
            <w:r>
              <w:rPr>
                <w:rFonts w:cs="Arial"/>
                <w:sz w:val="24"/>
                <w:szCs w:val="24"/>
              </w:rPr>
              <w:t>163</w:t>
            </w:r>
          </w:p>
        </w:tc>
        <w:tc>
          <w:tcPr>
            <w:tcW w:w="1313" w:type="dxa"/>
          </w:tcPr>
          <w:p w:rsidR="00766799" w:rsidRPr="00FB61C2" w:rsidRDefault="00FB61C2" w:rsidP="00FB61C2">
            <w:pPr>
              <w:rPr>
                <w:rFonts w:cs="Arial"/>
                <w:color w:val="FF0000"/>
                <w:szCs w:val="24"/>
              </w:rPr>
            </w:pPr>
            <w:r w:rsidRPr="00FB61C2">
              <w:rPr>
                <w:rFonts w:cs="Arial"/>
                <w:color w:val="FF0000"/>
                <w:szCs w:val="24"/>
              </w:rPr>
              <w:t>- 13</w:t>
            </w:r>
          </w:p>
        </w:tc>
      </w:tr>
      <w:tr w:rsidR="00766799" w:rsidTr="00FB61C2">
        <w:tc>
          <w:tcPr>
            <w:tcW w:w="1084" w:type="dxa"/>
          </w:tcPr>
          <w:p w:rsidR="00766799" w:rsidRPr="00766799" w:rsidRDefault="00766799" w:rsidP="00631270">
            <w:pPr>
              <w:rPr>
                <w:rFonts w:cs="Arial"/>
                <w:sz w:val="24"/>
                <w:szCs w:val="24"/>
              </w:rPr>
            </w:pPr>
            <w:r w:rsidRPr="00766799">
              <w:rPr>
                <w:rFonts w:cs="Arial"/>
                <w:sz w:val="24"/>
                <w:szCs w:val="24"/>
              </w:rPr>
              <w:t>2021/22</w:t>
            </w:r>
          </w:p>
        </w:tc>
        <w:tc>
          <w:tcPr>
            <w:tcW w:w="1313" w:type="dxa"/>
          </w:tcPr>
          <w:p w:rsidR="00766799" w:rsidRPr="00766799" w:rsidRDefault="00766799" w:rsidP="00631270">
            <w:pPr>
              <w:rPr>
                <w:rFonts w:cs="Arial"/>
                <w:sz w:val="24"/>
                <w:szCs w:val="24"/>
              </w:rPr>
            </w:pPr>
            <w:r w:rsidRPr="00766799">
              <w:rPr>
                <w:rFonts w:cs="Arial"/>
                <w:sz w:val="24"/>
                <w:szCs w:val="24"/>
              </w:rPr>
              <w:t>150</w:t>
            </w:r>
          </w:p>
        </w:tc>
        <w:tc>
          <w:tcPr>
            <w:tcW w:w="1390" w:type="dxa"/>
          </w:tcPr>
          <w:p w:rsidR="00766799" w:rsidRPr="00766799" w:rsidRDefault="00FB61C2" w:rsidP="00631270">
            <w:pPr>
              <w:rPr>
                <w:rFonts w:cs="Arial"/>
                <w:sz w:val="24"/>
                <w:szCs w:val="24"/>
              </w:rPr>
            </w:pPr>
            <w:r>
              <w:rPr>
                <w:rFonts w:cs="Arial"/>
                <w:sz w:val="24"/>
                <w:szCs w:val="24"/>
              </w:rPr>
              <w:t>170</w:t>
            </w:r>
          </w:p>
        </w:tc>
        <w:tc>
          <w:tcPr>
            <w:tcW w:w="1313" w:type="dxa"/>
          </w:tcPr>
          <w:p w:rsidR="00766799" w:rsidRPr="00FB61C2" w:rsidRDefault="00FB61C2" w:rsidP="00FB61C2">
            <w:pPr>
              <w:rPr>
                <w:rFonts w:cs="Arial"/>
                <w:color w:val="FF0000"/>
                <w:szCs w:val="24"/>
              </w:rPr>
            </w:pPr>
            <w:r w:rsidRPr="00FB61C2">
              <w:rPr>
                <w:rFonts w:cs="Arial"/>
                <w:color w:val="FF0000"/>
                <w:szCs w:val="24"/>
              </w:rPr>
              <w:t>- 20</w:t>
            </w:r>
          </w:p>
        </w:tc>
      </w:tr>
      <w:tr w:rsidR="00766799" w:rsidTr="00FB61C2">
        <w:tc>
          <w:tcPr>
            <w:tcW w:w="1084" w:type="dxa"/>
          </w:tcPr>
          <w:p w:rsidR="00766799" w:rsidRPr="00766799" w:rsidRDefault="00766799" w:rsidP="00631270">
            <w:pPr>
              <w:rPr>
                <w:rFonts w:cs="Arial"/>
                <w:sz w:val="24"/>
                <w:szCs w:val="24"/>
              </w:rPr>
            </w:pPr>
            <w:r w:rsidRPr="00766799">
              <w:rPr>
                <w:rFonts w:cs="Arial"/>
                <w:sz w:val="24"/>
                <w:szCs w:val="24"/>
              </w:rPr>
              <w:t>2022/23</w:t>
            </w:r>
          </w:p>
        </w:tc>
        <w:tc>
          <w:tcPr>
            <w:tcW w:w="1313" w:type="dxa"/>
          </w:tcPr>
          <w:p w:rsidR="00766799" w:rsidRPr="00766799" w:rsidRDefault="00766799" w:rsidP="00631270">
            <w:pPr>
              <w:rPr>
                <w:rFonts w:cs="Arial"/>
                <w:sz w:val="24"/>
                <w:szCs w:val="24"/>
              </w:rPr>
            </w:pPr>
            <w:r w:rsidRPr="00766799">
              <w:rPr>
                <w:rFonts w:cs="Arial"/>
                <w:sz w:val="24"/>
                <w:szCs w:val="24"/>
              </w:rPr>
              <w:t>150</w:t>
            </w:r>
          </w:p>
        </w:tc>
        <w:tc>
          <w:tcPr>
            <w:tcW w:w="1390" w:type="dxa"/>
          </w:tcPr>
          <w:p w:rsidR="00766799" w:rsidRPr="00766799" w:rsidRDefault="00FB61C2" w:rsidP="00631270">
            <w:pPr>
              <w:rPr>
                <w:rFonts w:cs="Arial"/>
                <w:sz w:val="24"/>
                <w:szCs w:val="24"/>
              </w:rPr>
            </w:pPr>
            <w:r>
              <w:rPr>
                <w:rFonts w:cs="Arial"/>
                <w:sz w:val="24"/>
                <w:szCs w:val="24"/>
              </w:rPr>
              <w:t>159</w:t>
            </w:r>
          </w:p>
        </w:tc>
        <w:tc>
          <w:tcPr>
            <w:tcW w:w="1313" w:type="dxa"/>
          </w:tcPr>
          <w:p w:rsidR="00766799" w:rsidRPr="00FB61C2" w:rsidRDefault="00FB61C2" w:rsidP="00FB61C2">
            <w:pPr>
              <w:rPr>
                <w:rFonts w:cs="Arial"/>
                <w:color w:val="FF0000"/>
                <w:szCs w:val="24"/>
              </w:rPr>
            </w:pPr>
            <w:r w:rsidRPr="00FB61C2">
              <w:rPr>
                <w:rFonts w:cs="Arial"/>
                <w:color w:val="FF0000"/>
                <w:szCs w:val="24"/>
              </w:rPr>
              <w:t>- 9</w:t>
            </w:r>
          </w:p>
        </w:tc>
      </w:tr>
      <w:tr w:rsidR="00766799" w:rsidTr="00FB61C2">
        <w:tc>
          <w:tcPr>
            <w:tcW w:w="1084" w:type="dxa"/>
          </w:tcPr>
          <w:p w:rsidR="00766799" w:rsidRPr="00766799" w:rsidRDefault="00766799" w:rsidP="00631270">
            <w:pPr>
              <w:rPr>
                <w:rFonts w:cs="Arial"/>
                <w:sz w:val="24"/>
                <w:szCs w:val="24"/>
              </w:rPr>
            </w:pPr>
            <w:r w:rsidRPr="00766799">
              <w:rPr>
                <w:rFonts w:cs="Arial"/>
                <w:sz w:val="24"/>
                <w:szCs w:val="24"/>
              </w:rPr>
              <w:t>2023/24</w:t>
            </w:r>
          </w:p>
        </w:tc>
        <w:tc>
          <w:tcPr>
            <w:tcW w:w="1313" w:type="dxa"/>
          </w:tcPr>
          <w:p w:rsidR="00766799" w:rsidRPr="00766799" w:rsidRDefault="00766799" w:rsidP="00631270">
            <w:pPr>
              <w:rPr>
                <w:rFonts w:cs="Arial"/>
                <w:sz w:val="24"/>
                <w:szCs w:val="24"/>
              </w:rPr>
            </w:pPr>
            <w:r w:rsidRPr="00766799">
              <w:rPr>
                <w:rFonts w:cs="Arial"/>
                <w:sz w:val="24"/>
                <w:szCs w:val="24"/>
              </w:rPr>
              <w:t>150</w:t>
            </w:r>
          </w:p>
        </w:tc>
        <w:tc>
          <w:tcPr>
            <w:tcW w:w="1390" w:type="dxa"/>
          </w:tcPr>
          <w:p w:rsidR="00766799" w:rsidRPr="00766799" w:rsidRDefault="00FB61C2" w:rsidP="00631270">
            <w:pPr>
              <w:rPr>
                <w:rFonts w:cs="Arial"/>
                <w:sz w:val="24"/>
                <w:szCs w:val="24"/>
              </w:rPr>
            </w:pPr>
            <w:r>
              <w:rPr>
                <w:rFonts w:cs="Arial"/>
                <w:sz w:val="24"/>
                <w:szCs w:val="24"/>
              </w:rPr>
              <w:t>157</w:t>
            </w:r>
          </w:p>
        </w:tc>
        <w:tc>
          <w:tcPr>
            <w:tcW w:w="1313" w:type="dxa"/>
          </w:tcPr>
          <w:p w:rsidR="00766799" w:rsidRPr="00FB61C2" w:rsidRDefault="00FB61C2" w:rsidP="00FB61C2">
            <w:pPr>
              <w:rPr>
                <w:rFonts w:cs="Arial"/>
                <w:color w:val="FF0000"/>
                <w:szCs w:val="24"/>
              </w:rPr>
            </w:pPr>
            <w:r w:rsidRPr="00FB61C2">
              <w:rPr>
                <w:rFonts w:cs="Arial"/>
                <w:color w:val="FF0000"/>
                <w:szCs w:val="24"/>
              </w:rPr>
              <w:t>- 7</w:t>
            </w:r>
          </w:p>
        </w:tc>
      </w:tr>
      <w:tr w:rsidR="00766799" w:rsidTr="00FB61C2">
        <w:tc>
          <w:tcPr>
            <w:tcW w:w="1084" w:type="dxa"/>
          </w:tcPr>
          <w:p w:rsidR="00766799" w:rsidRPr="00766799" w:rsidRDefault="00766799" w:rsidP="00631270">
            <w:pPr>
              <w:rPr>
                <w:rFonts w:cs="Arial"/>
                <w:sz w:val="24"/>
                <w:szCs w:val="24"/>
              </w:rPr>
            </w:pPr>
            <w:r w:rsidRPr="00766799">
              <w:rPr>
                <w:rFonts w:cs="Arial"/>
                <w:sz w:val="24"/>
                <w:szCs w:val="24"/>
              </w:rPr>
              <w:t>2024/25</w:t>
            </w:r>
          </w:p>
        </w:tc>
        <w:tc>
          <w:tcPr>
            <w:tcW w:w="1313" w:type="dxa"/>
          </w:tcPr>
          <w:p w:rsidR="00766799" w:rsidRPr="00766799" w:rsidRDefault="00766799" w:rsidP="00631270">
            <w:pPr>
              <w:rPr>
                <w:rFonts w:cs="Arial"/>
                <w:sz w:val="24"/>
                <w:szCs w:val="24"/>
              </w:rPr>
            </w:pPr>
            <w:r w:rsidRPr="00766799">
              <w:rPr>
                <w:rFonts w:cs="Arial"/>
                <w:sz w:val="24"/>
                <w:szCs w:val="24"/>
              </w:rPr>
              <w:t>150</w:t>
            </w:r>
          </w:p>
        </w:tc>
        <w:tc>
          <w:tcPr>
            <w:tcW w:w="1390" w:type="dxa"/>
          </w:tcPr>
          <w:p w:rsidR="00766799" w:rsidRPr="00766799" w:rsidRDefault="00FB61C2" w:rsidP="00631270">
            <w:pPr>
              <w:rPr>
                <w:rFonts w:cs="Arial"/>
                <w:sz w:val="24"/>
                <w:szCs w:val="24"/>
              </w:rPr>
            </w:pPr>
            <w:r>
              <w:rPr>
                <w:rFonts w:cs="Arial"/>
                <w:sz w:val="24"/>
                <w:szCs w:val="24"/>
              </w:rPr>
              <w:t>160</w:t>
            </w:r>
          </w:p>
        </w:tc>
        <w:tc>
          <w:tcPr>
            <w:tcW w:w="1313" w:type="dxa"/>
          </w:tcPr>
          <w:p w:rsidR="00766799" w:rsidRPr="00FB61C2" w:rsidRDefault="00FB61C2" w:rsidP="00FB61C2">
            <w:pPr>
              <w:rPr>
                <w:rFonts w:cs="Arial"/>
                <w:color w:val="FF0000"/>
                <w:szCs w:val="24"/>
              </w:rPr>
            </w:pPr>
            <w:r w:rsidRPr="00FB61C2">
              <w:rPr>
                <w:rFonts w:cs="Arial"/>
                <w:color w:val="FF0000"/>
                <w:szCs w:val="24"/>
              </w:rPr>
              <w:t>- 10</w:t>
            </w:r>
          </w:p>
        </w:tc>
      </w:tr>
      <w:tr w:rsidR="00FB61C2" w:rsidRPr="00766799" w:rsidTr="00FB61C2">
        <w:tc>
          <w:tcPr>
            <w:tcW w:w="1084" w:type="dxa"/>
          </w:tcPr>
          <w:p w:rsidR="00FB61C2" w:rsidRPr="00766799" w:rsidRDefault="00FB61C2" w:rsidP="00765964">
            <w:pPr>
              <w:rPr>
                <w:rFonts w:cs="Arial"/>
                <w:sz w:val="24"/>
                <w:szCs w:val="24"/>
              </w:rPr>
            </w:pPr>
            <w:r>
              <w:rPr>
                <w:rFonts w:cs="Arial"/>
                <w:sz w:val="24"/>
                <w:szCs w:val="24"/>
              </w:rPr>
              <w:t>2025</w:t>
            </w:r>
            <w:r w:rsidRPr="00766799">
              <w:rPr>
                <w:rFonts w:cs="Arial"/>
                <w:sz w:val="24"/>
                <w:szCs w:val="24"/>
              </w:rPr>
              <w:t>/2</w:t>
            </w:r>
            <w:r>
              <w:rPr>
                <w:rFonts w:cs="Arial"/>
                <w:sz w:val="24"/>
                <w:szCs w:val="24"/>
              </w:rPr>
              <w:t>6</w:t>
            </w:r>
          </w:p>
        </w:tc>
        <w:tc>
          <w:tcPr>
            <w:tcW w:w="1313" w:type="dxa"/>
          </w:tcPr>
          <w:p w:rsidR="00FB61C2" w:rsidRPr="00766799" w:rsidRDefault="00FB61C2" w:rsidP="00765964">
            <w:pPr>
              <w:rPr>
                <w:rFonts w:cs="Arial"/>
                <w:sz w:val="24"/>
                <w:szCs w:val="24"/>
              </w:rPr>
            </w:pPr>
            <w:r w:rsidRPr="00766799">
              <w:rPr>
                <w:rFonts w:cs="Arial"/>
                <w:sz w:val="24"/>
                <w:szCs w:val="24"/>
              </w:rPr>
              <w:t>150</w:t>
            </w:r>
          </w:p>
        </w:tc>
        <w:tc>
          <w:tcPr>
            <w:tcW w:w="1390" w:type="dxa"/>
          </w:tcPr>
          <w:p w:rsidR="00FB61C2" w:rsidRPr="00766799" w:rsidRDefault="00FB61C2" w:rsidP="00765964">
            <w:pPr>
              <w:rPr>
                <w:rFonts w:cs="Arial"/>
                <w:sz w:val="24"/>
                <w:szCs w:val="24"/>
              </w:rPr>
            </w:pPr>
            <w:r>
              <w:rPr>
                <w:rFonts w:cs="Arial"/>
                <w:sz w:val="24"/>
                <w:szCs w:val="24"/>
              </w:rPr>
              <w:t>162</w:t>
            </w:r>
          </w:p>
        </w:tc>
        <w:tc>
          <w:tcPr>
            <w:tcW w:w="1313" w:type="dxa"/>
          </w:tcPr>
          <w:p w:rsidR="00FB61C2" w:rsidRPr="00FB61C2" w:rsidRDefault="00FB61C2" w:rsidP="00FB61C2">
            <w:pPr>
              <w:rPr>
                <w:rFonts w:cs="Arial"/>
                <w:color w:val="FF0000"/>
                <w:szCs w:val="24"/>
              </w:rPr>
            </w:pPr>
            <w:r w:rsidRPr="00FB61C2">
              <w:rPr>
                <w:rFonts w:cs="Arial"/>
                <w:color w:val="FF0000"/>
                <w:szCs w:val="24"/>
              </w:rPr>
              <w:t>- 12</w:t>
            </w:r>
          </w:p>
        </w:tc>
      </w:tr>
    </w:tbl>
    <w:p w:rsidR="008E145C" w:rsidRDefault="008E145C" w:rsidP="008E145C">
      <w:pPr>
        <w:rPr>
          <w:rFonts w:cs="Arial"/>
        </w:rPr>
      </w:pPr>
    </w:p>
    <w:p w:rsidR="008E145C" w:rsidRPr="00766799" w:rsidRDefault="008E145C" w:rsidP="00766799">
      <w:pPr>
        <w:pStyle w:val="ListParagraph"/>
        <w:numPr>
          <w:ilvl w:val="0"/>
          <w:numId w:val="19"/>
        </w:numPr>
        <w:rPr>
          <w:rFonts w:cs="Arial"/>
        </w:rPr>
      </w:pPr>
      <w:r w:rsidRPr="00766799">
        <w:rPr>
          <w:rFonts w:cs="Arial"/>
        </w:rPr>
        <w:t>As can be seen from the above, there is a</w:t>
      </w:r>
      <w:r w:rsidR="00B67D99">
        <w:rPr>
          <w:rFonts w:cs="Arial"/>
        </w:rPr>
        <w:t xml:space="preserve"> sustained</w:t>
      </w:r>
      <w:r w:rsidRPr="00766799">
        <w:rPr>
          <w:rFonts w:cs="Arial"/>
        </w:rPr>
        <w:t xml:space="preserve"> need for additional </w:t>
      </w:r>
      <w:r w:rsidR="00766799" w:rsidRPr="00766799">
        <w:rPr>
          <w:rFonts w:cs="Arial"/>
        </w:rPr>
        <w:t>Junior</w:t>
      </w:r>
      <w:r w:rsidRPr="00766799">
        <w:rPr>
          <w:rFonts w:cs="Arial"/>
        </w:rPr>
        <w:t xml:space="preserve"> places in the a</w:t>
      </w:r>
      <w:r w:rsidR="00B67D99">
        <w:rPr>
          <w:rFonts w:cs="Arial"/>
        </w:rPr>
        <w:t>rea</w:t>
      </w:r>
      <w:r w:rsidRPr="00766799">
        <w:rPr>
          <w:rFonts w:cs="Arial"/>
        </w:rPr>
        <w:t>. This is also a relatively popular area for admissions applications and, even in years where a projected surplus has existed, placing all children with a preference in the area has proved difficult. The propos</w:t>
      </w:r>
      <w:r w:rsidR="00766799" w:rsidRPr="00766799">
        <w:rPr>
          <w:rFonts w:cs="Arial"/>
        </w:rPr>
        <w:t>ed expansion of the new school by a</w:t>
      </w:r>
      <w:r w:rsidRPr="00766799">
        <w:rPr>
          <w:rFonts w:cs="Arial"/>
        </w:rPr>
        <w:t xml:space="preserve"> Form of Entry</w:t>
      </w:r>
      <w:r w:rsidR="00766799" w:rsidRPr="00766799">
        <w:rPr>
          <w:rFonts w:cs="Arial"/>
        </w:rPr>
        <w:t xml:space="preserve"> at Year 3</w:t>
      </w:r>
      <w:r w:rsidRPr="00766799">
        <w:rPr>
          <w:rFonts w:cs="Arial"/>
        </w:rPr>
        <w:t xml:space="preserve"> would reduce all of th</w:t>
      </w:r>
      <w:r w:rsidR="00766799" w:rsidRPr="00766799">
        <w:rPr>
          <w:rFonts w:cs="Arial"/>
        </w:rPr>
        <w:t>e above projected deficits by 30</w:t>
      </w:r>
      <w:r w:rsidRPr="00766799">
        <w:rPr>
          <w:rFonts w:cs="Arial"/>
        </w:rPr>
        <w:t xml:space="preserve"> places and add surplus in other years, thereby augmenting the scope for parental preference.</w:t>
      </w:r>
    </w:p>
    <w:p w:rsidR="008E145C" w:rsidRPr="00D332C6" w:rsidRDefault="008E145C" w:rsidP="00910D38">
      <w:pPr>
        <w:tabs>
          <w:tab w:val="left" w:pos="10206"/>
        </w:tabs>
        <w:ind w:right="-283"/>
        <w:rPr>
          <w:rFonts w:cs="Helv"/>
          <w:color w:val="000000"/>
          <w:szCs w:val="24"/>
        </w:rPr>
      </w:pPr>
    </w:p>
    <w:p w:rsidR="006E4444" w:rsidRPr="004B3D93" w:rsidRDefault="00C8330A" w:rsidP="007532FF">
      <w:pPr>
        <w:pStyle w:val="Heading1"/>
        <w:tabs>
          <w:tab w:val="left" w:pos="10206"/>
        </w:tabs>
        <w:spacing w:after="0"/>
        <w:ind w:right="-283"/>
        <w:rPr>
          <w:b/>
          <w:color w:val="auto"/>
          <w:sz w:val="32"/>
          <w:szCs w:val="32"/>
        </w:rPr>
      </w:pPr>
      <w:r>
        <w:rPr>
          <w:b/>
          <w:color w:val="auto"/>
          <w:sz w:val="32"/>
          <w:szCs w:val="32"/>
        </w:rPr>
        <w:t>Admissions</w:t>
      </w:r>
    </w:p>
    <w:p w:rsidR="006E4444" w:rsidRPr="004B3D93" w:rsidRDefault="006E4444" w:rsidP="00766799">
      <w:pPr>
        <w:tabs>
          <w:tab w:val="left" w:pos="10206"/>
        </w:tabs>
        <w:autoSpaceDE w:val="0"/>
        <w:autoSpaceDN w:val="0"/>
        <w:adjustRightInd w:val="0"/>
        <w:ind w:right="-283"/>
        <w:rPr>
          <w:rFonts w:cs="Helv"/>
          <w:color w:val="000000"/>
          <w:szCs w:val="24"/>
        </w:rPr>
      </w:pPr>
    </w:p>
    <w:p w:rsidR="006E4444" w:rsidRPr="00D332C6" w:rsidRDefault="00D5063B" w:rsidP="00D332C6">
      <w:pPr>
        <w:pStyle w:val="ListParagraph"/>
        <w:numPr>
          <w:ilvl w:val="0"/>
          <w:numId w:val="19"/>
        </w:numPr>
        <w:tabs>
          <w:tab w:val="left" w:pos="10206"/>
        </w:tabs>
        <w:ind w:right="-283"/>
        <w:rPr>
          <w:rFonts w:eastAsia="Times New Roman" w:cs="Times New Roman"/>
          <w:szCs w:val="24"/>
          <w:lang w:eastAsia="en-GB"/>
        </w:rPr>
      </w:pPr>
      <w:r>
        <w:rPr>
          <w:rFonts w:eastAsia="Times New Roman" w:cs="Times New Roman"/>
          <w:szCs w:val="24"/>
          <w:lang w:eastAsia="en-GB"/>
        </w:rPr>
        <w:t xml:space="preserve">The proposal is to create a single institution with an Admissions Policy that </w:t>
      </w:r>
      <w:r w:rsidR="003E12EF">
        <w:rPr>
          <w:rFonts w:eastAsia="Times New Roman" w:cs="Times New Roman"/>
          <w:szCs w:val="24"/>
          <w:lang w:eastAsia="en-GB"/>
        </w:rPr>
        <w:t>allows</w:t>
      </w:r>
      <w:r>
        <w:rPr>
          <w:rFonts w:eastAsia="Times New Roman" w:cs="Times New Roman"/>
          <w:szCs w:val="24"/>
          <w:lang w:eastAsia="en-GB"/>
        </w:rPr>
        <w:t xml:space="preserve"> for </w:t>
      </w:r>
      <w:r w:rsidR="00612065">
        <w:rPr>
          <w:rFonts w:eastAsia="Times New Roman" w:cs="Times New Roman"/>
          <w:szCs w:val="24"/>
          <w:lang w:eastAsia="en-GB"/>
        </w:rPr>
        <w:t xml:space="preserve">the entry routes provided by its predecessor schools. At this stage, it is not proposed to amend the Admissions Policy for Year 3 entry. It is proposed that admission for Year R would be amended to mirror that for Year 3, with the added stipulation that faith-based admission criteria will only apply to those pupils </w:t>
      </w:r>
      <w:r w:rsidR="00612065" w:rsidRPr="00612065">
        <w:rPr>
          <w:rFonts w:eastAsia="Times New Roman" w:cs="Times New Roman"/>
          <w:i/>
          <w:szCs w:val="24"/>
          <w:lang w:eastAsia="en-GB"/>
        </w:rPr>
        <w:t>for whom the new school is the nearest Church of England school</w:t>
      </w:r>
      <w:r w:rsidR="00612065">
        <w:rPr>
          <w:rFonts w:eastAsia="Times New Roman" w:cs="Times New Roman"/>
          <w:szCs w:val="24"/>
          <w:lang w:eastAsia="en-GB"/>
        </w:rPr>
        <w:t>, as measured from their place of residence, thus ensuring that the new school continues to serve its local community.</w:t>
      </w:r>
      <w:r w:rsidR="00E21E9B">
        <w:rPr>
          <w:rFonts w:eastAsia="Times New Roman" w:cs="Times New Roman"/>
          <w:szCs w:val="24"/>
          <w:lang w:eastAsia="en-GB"/>
        </w:rPr>
        <w:t xml:space="preserve"> The school will consider applying for an in year variation to its Admission arrangements, in order to bring this proposed change into effect for September 2018.</w:t>
      </w:r>
    </w:p>
    <w:p w:rsidR="003B0030" w:rsidRDefault="003B0030" w:rsidP="007532FF">
      <w:pPr>
        <w:tabs>
          <w:tab w:val="left" w:pos="10206"/>
        </w:tabs>
        <w:ind w:left="284" w:right="-283"/>
        <w:rPr>
          <w:rFonts w:eastAsia="Times New Roman" w:cs="Times New Roman"/>
          <w:szCs w:val="24"/>
          <w:lang w:eastAsia="en-GB"/>
        </w:rPr>
      </w:pPr>
    </w:p>
    <w:p w:rsidR="003B0030" w:rsidRPr="003B0030" w:rsidRDefault="003B0030" w:rsidP="007532FF">
      <w:pPr>
        <w:pStyle w:val="Heading1"/>
        <w:tabs>
          <w:tab w:val="left" w:pos="10206"/>
        </w:tabs>
        <w:spacing w:after="0"/>
        <w:ind w:right="-283"/>
        <w:rPr>
          <w:b/>
          <w:color w:val="auto"/>
          <w:sz w:val="32"/>
          <w:szCs w:val="32"/>
        </w:rPr>
      </w:pPr>
      <w:r>
        <w:rPr>
          <w:b/>
          <w:color w:val="auto"/>
          <w:sz w:val="32"/>
          <w:szCs w:val="32"/>
        </w:rPr>
        <w:t>Staffing and HR</w:t>
      </w:r>
    </w:p>
    <w:p w:rsidR="003B0030" w:rsidRPr="003B0030" w:rsidRDefault="003B0030" w:rsidP="007532FF">
      <w:pPr>
        <w:tabs>
          <w:tab w:val="left" w:pos="10206"/>
        </w:tabs>
        <w:ind w:left="284" w:right="-283"/>
        <w:rPr>
          <w:rFonts w:eastAsia="Times New Roman" w:cs="Times New Roman"/>
          <w:szCs w:val="24"/>
          <w:lang w:eastAsia="en-GB"/>
        </w:rPr>
      </w:pPr>
    </w:p>
    <w:p w:rsidR="007B3A3B" w:rsidRDefault="00A33E0E" w:rsidP="007B3A3B">
      <w:pPr>
        <w:pStyle w:val="ListParagraph"/>
        <w:numPr>
          <w:ilvl w:val="0"/>
          <w:numId w:val="19"/>
        </w:numPr>
        <w:tabs>
          <w:tab w:val="left" w:pos="10206"/>
        </w:tabs>
        <w:ind w:right="-283"/>
        <w:rPr>
          <w:rFonts w:eastAsia="Times New Roman" w:cs="Times New Roman"/>
          <w:szCs w:val="24"/>
          <w:lang w:eastAsia="en-GB"/>
        </w:rPr>
      </w:pPr>
      <w:r w:rsidRPr="007B3A3B">
        <w:rPr>
          <w:rFonts w:eastAsia="Times New Roman" w:cs="Times New Roman"/>
          <w:szCs w:val="24"/>
          <w:lang w:eastAsia="en-GB"/>
        </w:rPr>
        <w:t>In order to provide stability during the period of change</w:t>
      </w:r>
      <w:r w:rsidR="007B3A3B">
        <w:rPr>
          <w:rFonts w:eastAsia="Times New Roman" w:cs="Times New Roman"/>
          <w:szCs w:val="24"/>
          <w:lang w:eastAsia="en-GB"/>
        </w:rPr>
        <w:t>,</w:t>
      </w:r>
      <w:r w:rsidRPr="007B3A3B">
        <w:rPr>
          <w:rFonts w:eastAsia="Times New Roman" w:cs="Times New Roman"/>
          <w:szCs w:val="24"/>
          <w:lang w:eastAsia="en-GB"/>
        </w:rPr>
        <w:t xml:space="preserve"> i</w:t>
      </w:r>
      <w:r w:rsidR="0044367C" w:rsidRPr="007B3A3B">
        <w:rPr>
          <w:rFonts w:eastAsia="Times New Roman" w:cs="Times New Roman"/>
          <w:szCs w:val="24"/>
          <w:lang w:eastAsia="en-GB"/>
        </w:rPr>
        <w:t>t is proposed that the</w:t>
      </w:r>
      <w:r w:rsidR="00D11B03">
        <w:rPr>
          <w:rFonts w:eastAsia="Times New Roman" w:cs="Times New Roman"/>
          <w:szCs w:val="24"/>
          <w:lang w:eastAsia="en-GB"/>
        </w:rPr>
        <w:t xml:space="preserve"> current shared</w:t>
      </w:r>
      <w:r w:rsidRPr="007B3A3B">
        <w:rPr>
          <w:rFonts w:eastAsia="Times New Roman" w:cs="Times New Roman"/>
          <w:szCs w:val="24"/>
          <w:lang w:eastAsia="en-GB"/>
        </w:rPr>
        <w:t xml:space="preserve"> Headteacher remain</w:t>
      </w:r>
      <w:r w:rsidR="007B3A3B">
        <w:rPr>
          <w:rFonts w:eastAsia="Times New Roman" w:cs="Times New Roman"/>
          <w:szCs w:val="24"/>
          <w:lang w:eastAsia="en-GB"/>
        </w:rPr>
        <w:t>s in this post until August 2018</w:t>
      </w:r>
      <w:r w:rsidRPr="007B3A3B">
        <w:rPr>
          <w:rFonts w:eastAsia="Times New Roman" w:cs="Times New Roman"/>
          <w:szCs w:val="24"/>
          <w:lang w:eastAsia="en-GB"/>
        </w:rPr>
        <w:t xml:space="preserve"> and becomes the Headteacher of the amalga</w:t>
      </w:r>
      <w:r w:rsidR="007B3A3B">
        <w:rPr>
          <w:rFonts w:eastAsia="Times New Roman" w:cs="Times New Roman"/>
          <w:szCs w:val="24"/>
          <w:lang w:eastAsia="en-GB"/>
        </w:rPr>
        <w:t>mated school from September 2018</w:t>
      </w:r>
      <w:r w:rsidRPr="007B3A3B">
        <w:rPr>
          <w:rFonts w:eastAsia="Times New Roman" w:cs="Times New Roman"/>
          <w:szCs w:val="24"/>
          <w:lang w:eastAsia="en-GB"/>
        </w:rPr>
        <w:t>.</w:t>
      </w:r>
    </w:p>
    <w:p w:rsidR="007B3A3B" w:rsidRPr="007B3A3B" w:rsidRDefault="007B3A3B" w:rsidP="007B3A3B">
      <w:pPr>
        <w:tabs>
          <w:tab w:val="left" w:pos="10206"/>
        </w:tabs>
        <w:ind w:right="-283"/>
        <w:rPr>
          <w:rFonts w:eastAsia="Times New Roman" w:cs="Times New Roman"/>
          <w:szCs w:val="24"/>
          <w:lang w:eastAsia="en-GB"/>
        </w:rPr>
      </w:pPr>
    </w:p>
    <w:p w:rsidR="007B3A3B" w:rsidRPr="007B3A3B" w:rsidRDefault="007B3A3B" w:rsidP="007B3A3B">
      <w:pPr>
        <w:pStyle w:val="ListParagraph"/>
        <w:numPr>
          <w:ilvl w:val="0"/>
          <w:numId w:val="19"/>
        </w:numPr>
        <w:tabs>
          <w:tab w:val="left" w:pos="10206"/>
        </w:tabs>
        <w:ind w:right="-283"/>
        <w:rPr>
          <w:rFonts w:eastAsia="Times New Roman" w:cs="Times New Roman"/>
          <w:szCs w:val="24"/>
          <w:lang w:eastAsia="en-GB"/>
        </w:rPr>
      </w:pPr>
      <w:r>
        <w:rPr>
          <w:rFonts w:eastAsia="Times New Roman" w:cs="Times New Roman"/>
          <w:szCs w:val="24"/>
          <w:lang w:eastAsia="en-GB"/>
        </w:rPr>
        <w:t>The move to a single inst</w:t>
      </w:r>
      <w:r w:rsidR="00A27D92">
        <w:rPr>
          <w:rFonts w:eastAsia="Times New Roman" w:cs="Times New Roman"/>
          <w:szCs w:val="24"/>
          <w:lang w:eastAsia="en-GB"/>
        </w:rPr>
        <w:t>itution may have an impact on a</w:t>
      </w:r>
      <w:r w:rsidR="004F1D2C" w:rsidRPr="005E63E3">
        <w:rPr>
          <w:lang w:eastAsia="en-GB"/>
        </w:rPr>
        <w:t xml:space="preserve"> number of </w:t>
      </w:r>
      <w:r w:rsidR="00A27D92" w:rsidRPr="005E63E3">
        <w:rPr>
          <w:lang w:eastAsia="en-GB"/>
        </w:rPr>
        <w:t>staff,</w:t>
      </w:r>
      <w:r>
        <w:rPr>
          <w:lang w:eastAsia="en-GB"/>
        </w:rPr>
        <w:t xml:space="preserve"> as staffing structures will likely be reformulated to reflect the new mode of operation. </w:t>
      </w:r>
      <w:r w:rsidR="005E63E3" w:rsidRPr="004F1D2C">
        <w:rPr>
          <w:lang w:eastAsia="en-GB"/>
        </w:rPr>
        <w:t>Staff at both schools have been made fully aware of the proposals and are being supported by the senior management team, together wi</w:t>
      </w:r>
      <w:r>
        <w:rPr>
          <w:lang w:eastAsia="en-GB"/>
        </w:rPr>
        <w:t xml:space="preserve">th HR and union representatives. </w:t>
      </w:r>
      <w:r w:rsidR="004F1D2C" w:rsidRPr="004F1D2C">
        <w:rPr>
          <w:lang w:eastAsia="en-GB"/>
        </w:rPr>
        <w:t>Any</w:t>
      </w:r>
      <w:r w:rsidR="00DD5252">
        <w:rPr>
          <w:lang w:eastAsia="en-GB"/>
        </w:rPr>
        <w:t xml:space="preserve"> formal</w:t>
      </w:r>
      <w:r w:rsidR="004F1D2C" w:rsidRPr="004F1D2C">
        <w:rPr>
          <w:lang w:eastAsia="en-GB"/>
        </w:rPr>
        <w:t xml:space="preserve"> staff consultations cannot take place until a decision has been made to proceed with this proposal.</w:t>
      </w:r>
    </w:p>
    <w:p w:rsidR="007B3A3B" w:rsidRPr="007B3A3B" w:rsidRDefault="007B3A3B" w:rsidP="007B3A3B">
      <w:pPr>
        <w:rPr>
          <w:rFonts w:cs="Arial"/>
        </w:rPr>
      </w:pPr>
    </w:p>
    <w:p w:rsidR="005E63E3" w:rsidRPr="007B3A3B" w:rsidRDefault="005E63E3" w:rsidP="007B3A3B">
      <w:pPr>
        <w:pStyle w:val="ListParagraph"/>
        <w:numPr>
          <w:ilvl w:val="0"/>
          <w:numId w:val="19"/>
        </w:numPr>
        <w:tabs>
          <w:tab w:val="left" w:pos="10206"/>
        </w:tabs>
        <w:ind w:right="-283"/>
        <w:rPr>
          <w:rFonts w:eastAsia="Times New Roman" w:cs="Times New Roman"/>
          <w:szCs w:val="24"/>
          <w:lang w:eastAsia="en-GB"/>
        </w:rPr>
      </w:pPr>
      <w:r w:rsidRPr="007B3A3B">
        <w:rPr>
          <w:rFonts w:cs="Arial"/>
        </w:rPr>
        <w:lastRenderedPageBreak/>
        <w:t>With a larger school there are likely to be more opportunities for internal progression as an enhanced middle leadership level will be developed to support the senior team.</w:t>
      </w:r>
    </w:p>
    <w:p w:rsidR="00993AB4" w:rsidRPr="005E63E3" w:rsidRDefault="00993AB4" w:rsidP="007532FF">
      <w:pPr>
        <w:tabs>
          <w:tab w:val="left" w:pos="10206"/>
        </w:tabs>
        <w:ind w:right="-283"/>
        <w:jc w:val="both"/>
        <w:rPr>
          <w:rFonts w:cs="Arial"/>
          <w:szCs w:val="24"/>
          <w:lang w:eastAsia="en-GB"/>
        </w:rPr>
      </w:pPr>
    </w:p>
    <w:p w:rsidR="006E4444" w:rsidRPr="002748BB" w:rsidRDefault="006E4444" w:rsidP="007532FF">
      <w:pPr>
        <w:pStyle w:val="Heading1"/>
        <w:tabs>
          <w:tab w:val="left" w:pos="10206"/>
        </w:tabs>
        <w:spacing w:after="0"/>
        <w:ind w:right="-283"/>
        <w:rPr>
          <w:b/>
          <w:color w:val="auto"/>
          <w:sz w:val="32"/>
          <w:szCs w:val="32"/>
        </w:rPr>
      </w:pPr>
      <w:r w:rsidRPr="002748BB">
        <w:rPr>
          <w:b/>
          <w:color w:val="auto"/>
          <w:sz w:val="32"/>
          <w:szCs w:val="32"/>
        </w:rPr>
        <w:t>Capital planning and buildings</w:t>
      </w:r>
    </w:p>
    <w:p w:rsidR="00EC4D3B" w:rsidRDefault="00EC4D3B" w:rsidP="00EC4D3B">
      <w:pPr>
        <w:tabs>
          <w:tab w:val="left" w:pos="9923"/>
        </w:tabs>
        <w:autoSpaceDE w:val="0"/>
        <w:autoSpaceDN w:val="0"/>
        <w:adjustRightInd w:val="0"/>
        <w:rPr>
          <w:rFonts w:cs="Helv"/>
          <w:color w:val="000000"/>
          <w:szCs w:val="24"/>
        </w:rPr>
      </w:pPr>
    </w:p>
    <w:p w:rsidR="002E35A5" w:rsidRDefault="00DA4BEE" w:rsidP="002E35A5">
      <w:pPr>
        <w:pStyle w:val="TitleMain14pt0before"/>
        <w:numPr>
          <w:ilvl w:val="0"/>
          <w:numId w:val="19"/>
        </w:numPr>
        <w:spacing w:after="0"/>
        <w:rPr>
          <w:b w:val="0"/>
          <w:bCs/>
          <w:sz w:val="24"/>
        </w:rPr>
      </w:pPr>
      <w:r>
        <w:rPr>
          <w:b w:val="0"/>
          <w:bCs/>
          <w:sz w:val="24"/>
        </w:rPr>
        <w:t>St. Mary’s</w:t>
      </w:r>
      <w:r w:rsidRPr="00B53C4E">
        <w:rPr>
          <w:b w:val="0"/>
          <w:bCs/>
          <w:sz w:val="24"/>
        </w:rPr>
        <w:t xml:space="preserve"> has capacity to expand</w:t>
      </w:r>
      <w:r>
        <w:rPr>
          <w:b w:val="0"/>
          <w:bCs/>
          <w:sz w:val="24"/>
        </w:rPr>
        <w:t xml:space="preserve"> its KS2 provision</w:t>
      </w:r>
      <w:r w:rsidRPr="00B53C4E">
        <w:rPr>
          <w:b w:val="0"/>
          <w:bCs/>
          <w:sz w:val="24"/>
        </w:rPr>
        <w:t xml:space="preserve"> in its existing location. A building programme will be required to provide the permanent facilities to allow for this increase.  Appropriate capital has been approved to achieve this and a separate planning application</w:t>
      </w:r>
      <w:r>
        <w:rPr>
          <w:b w:val="0"/>
          <w:bCs/>
          <w:sz w:val="24"/>
        </w:rPr>
        <w:t xml:space="preserve"> (with its own consultation process)</w:t>
      </w:r>
      <w:r w:rsidRPr="00B53C4E">
        <w:rPr>
          <w:b w:val="0"/>
          <w:bCs/>
          <w:sz w:val="24"/>
        </w:rPr>
        <w:t xml:space="preserve"> </w:t>
      </w:r>
      <w:r>
        <w:rPr>
          <w:b w:val="0"/>
          <w:bCs/>
          <w:sz w:val="24"/>
        </w:rPr>
        <w:t>will be run subsequent to this education consultation</w:t>
      </w:r>
      <w:r w:rsidRPr="00B53C4E">
        <w:rPr>
          <w:b w:val="0"/>
          <w:bCs/>
          <w:sz w:val="24"/>
        </w:rPr>
        <w:t>.</w:t>
      </w:r>
      <w:r>
        <w:rPr>
          <w:b w:val="0"/>
          <w:bCs/>
          <w:sz w:val="24"/>
        </w:rPr>
        <w:t xml:space="preserve"> The planning application process provides an</w:t>
      </w:r>
      <w:r w:rsidRPr="00B53C4E">
        <w:rPr>
          <w:b w:val="0"/>
          <w:bCs/>
          <w:sz w:val="24"/>
        </w:rPr>
        <w:t xml:space="preserve"> opportunity to raise issues relating to the proposed building and implications including traffic, school facilities, energy and the impact on the local community and access.</w:t>
      </w:r>
      <w:r>
        <w:rPr>
          <w:b w:val="0"/>
          <w:bCs/>
          <w:sz w:val="24"/>
        </w:rPr>
        <w:t xml:space="preserve"> Responses to the education consultation should focus on the educational implications of the proposed change.</w:t>
      </w:r>
    </w:p>
    <w:p w:rsidR="002E35A5" w:rsidRDefault="002E35A5" w:rsidP="002E35A5">
      <w:pPr>
        <w:pStyle w:val="TitleMain14pt0before"/>
        <w:spacing w:after="0"/>
        <w:ind w:left="142"/>
        <w:rPr>
          <w:b w:val="0"/>
          <w:bCs/>
          <w:sz w:val="24"/>
        </w:rPr>
      </w:pPr>
    </w:p>
    <w:p w:rsidR="002E35A5" w:rsidRPr="002E35A5" w:rsidRDefault="002E35A5" w:rsidP="002E35A5">
      <w:pPr>
        <w:pStyle w:val="TitleMain14pt0before"/>
        <w:numPr>
          <w:ilvl w:val="0"/>
          <w:numId w:val="19"/>
        </w:numPr>
        <w:spacing w:after="0"/>
        <w:rPr>
          <w:b w:val="0"/>
          <w:bCs/>
          <w:sz w:val="24"/>
        </w:rPr>
      </w:pPr>
      <w:r>
        <w:rPr>
          <w:b w:val="0"/>
          <w:bCs/>
          <w:sz w:val="24"/>
        </w:rPr>
        <w:t>The capital project is a major undertaking, which is being led by a Project Manager who will establish a series of design workshops with the school, so as to ensure that the design reflects the aspirations of the school community. In addition to this, a consultation evening will be held at the school in advance of the submission of any planning application, so as to ensure that the wider community’s perspective can be fed into the design process.</w:t>
      </w:r>
    </w:p>
    <w:p w:rsidR="007B3A3B" w:rsidRDefault="007B3A3B" w:rsidP="00EC4D3B">
      <w:pPr>
        <w:tabs>
          <w:tab w:val="left" w:pos="9923"/>
        </w:tabs>
        <w:autoSpaceDE w:val="0"/>
        <w:autoSpaceDN w:val="0"/>
        <w:adjustRightInd w:val="0"/>
        <w:rPr>
          <w:rFonts w:cs="Arial"/>
          <w:color w:val="000000"/>
          <w:szCs w:val="24"/>
        </w:rPr>
      </w:pPr>
    </w:p>
    <w:p w:rsidR="006E4444" w:rsidRPr="004B3D93" w:rsidRDefault="006E4444" w:rsidP="00EC4D3B">
      <w:pPr>
        <w:tabs>
          <w:tab w:val="left" w:pos="10206"/>
        </w:tabs>
        <w:autoSpaceDE w:val="0"/>
        <w:autoSpaceDN w:val="0"/>
        <w:adjustRightInd w:val="0"/>
        <w:ind w:right="-283"/>
        <w:rPr>
          <w:rFonts w:cs="Helv"/>
          <w:color w:val="000000"/>
          <w:szCs w:val="24"/>
        </w:rPr>
      </w:pPr>
      <w:r w:rsidRPr="004B3D93">
        <w:rPr>
          <w:b/>
          <w:sz w:val="32"/>
          <w:szCs w:val="32"/>
        </w:rPr>
        <w:t>Consultations, approvals and overall timescales</w:t>
      </w:r>
    </w:p>
    <w:p w:rsidR="006E4444" w:rsidRDefault="006E4444" w:rsidP="007532FF">
      <w:pPr>
        <w:pStyle w:val="ListParagraph"/>
        <w:numPr>
          <w:ilvl w:val="0"/>
          <w:numId w:val="0"/>
        </w:numPr>
        <w:tabs>
          <w:tab w:val="left" w:pos="10206"/>
        </w:tabs>
        <w:autoSpaceDE w:val="0"/>
        <w:autoSpaceDN w:val="0"/>
        <w:adjustRightInd w:val="0"/>
        <w:ind w:left="644" w:right="-283"/>
        <w:rPr>
          <w:rFonts w:cs="Helv"/>
          <w:color w:val="000000"/>
          <w:szCs w:val="24"/>
        </w:rPr>
      </w:pPr>
    </w:p>
    <w:p w:rsidR="00D953CB" w:rsidRPr="00D953CB" w:rsidRDefault="00395FE7" w:rsidP="009C3CEA">
      <w:pPr>
        <w:pStyle w:val="ListParagraph"/>
        <w:numPr>
          <w:ilvl w:val="0"/>
          <w:numId w:val="19"/>
        </w:numPr>
        <w:tabs>
          <w:tab w:val="left" w:pos="10206"/>
        </w:tabs>
        <w:autoSpaceDE w:val="0"/>
        <w:autoSpaceDN w:val="0"/>
        <w:adjustRightInd w:val="0"/>
        <w:ind w:right="-283"/>
        <w:rPr>
          <w:rFonts w:cs="Helv"/>
          <w:color w:val="000000"/>
          <w:szCs w:val="24"/>
        </w:rPr>
      </w:pPr>
      <w:r>
        <w:rPr>
          <w:rFonts w:cs="Arial"/>
        </w:rPr>
        <w:t>Proposals of this nature require a statutory p</w:t>
      </w:r>
      <w:r w:rsidR="00D953CB">
        <w:rPr>
          <w:rFonts w:cs="Arial"/>
        </w:rPr>
        <w:t>rocess to be followed</w:t>
      </w:r>
      <w:r>
        <w:rPr>
          <w:rFonts w:cs="Arial"/>
        </w:rPr>
        <w:t>.</w:t>
      </w:r>
      <w:r w:rsidR="00D953CB">
        <w:rPr>
          <w:rFonts w:cs="Arial"/>
        </w:rPr>
        <w:t xml:space="preserve"> The current phase of this process is the </w:t>
      </w:r>
      <w:r w:rsidR="00765964">
        <w:rPr>
          <w:rFonts w:cs="Arial"/>
        </w:rPr>
        <w:t>‘Representation’</w:t>
      </w:r>
      <w:r w:rsidR="00D953CB">
        <w:rPr>
          <w:rFonts w:cs="Arial"/>
        </w:rPr>
        <w:t xml:space="preserve"> period. This was preceded by an Informal Consultation period, which ran from 1 November to 13 December</w:t>
      </w:r>
      <w:r w:rsidR="007F3C1D">
        <w:rPr>
          <w:rFonts w:cs="Arial"/>
        </w:rPr>
        <w:t xml:space="preserve"> 2016</w:t>
      </w:r>
      <w:r w:rsidR="00D953CB">
        <w:rPr>
          <w:rFonts w:cs="Arial"/>
        </w:rPr>
        <w:t xml:space="preserve">. The response to this initial period of consultation was overwhelmingly positive, with </w:t>
      </w:r>
      <w:r w:rsidR="00B874DB">
        <w:rPr>
          <w:rFonts w:cs="Arial"/>
        </w:rPr>
        <w:t>93</w:t>
      </w:r>
      <w:r w:rsidR="00D953CB">
        <w:rPr>
          <w:rFonts w:cs="Arial"/>
        </w:rPr>
        <w:t xml:space="preserve">% of written responses expressing support for the proposed changes. A summary of the views expressed through the consultation exercise can be obtained from: </w:t>
      </w:r>
      <w:hyperlink r:id="rId12" w:history="1">
        <w:r w:rsidR="00D953CB" w:rsidRPr="00244AF5">
          <w:rPr>
            <w:rStyle w:val="Hyperlink"/>
            <w:rFonts w:cs="Arial"/>
          </w:rPr>
          <w:t>schoolorg@surreycc.gov.uk</w:t>
        </w:r>
      </w:hyperlink>
    </w:p>
    <w:p w:rsidR="00D953CB" w:rsidRPr="00D953CB" w:rsidRDefault="00D953CB" w:rsidP="00D953CB">
      <w:pPr>
        <w:tabs>
          <w:tab w:val="left" w:pos="10206"/>
        </w:tabs>
        <w:autoSpaceDE w:val="0"/>
        <w:autoSpaceDN w:val="0"/>
        <w:adjustRightInd w:val="0"/>
        <w:ind w:left="142" w:right="-283"/>
        <w:rPr>
          <w:rFonts w:cs="Helv"/>
          <w:color w:val="000000"/>
          <w:szCs w:val="24"/>
        </w:rPr>
      </w:pPr>
    </w:p>
    <w:p w:rsidR="009C3CEA" w:rsidRPr="009C3CEA" w:rsidRDefault="00A06A0E" w:rsidP="009C3CEA">
      <w:pPr>
        <w:pStyle w:val="ListParagraph"/>
        <w:numPr>
          <w:ilvl w:val="0"/>
          <w:numId w:val="19"/>
        </w:numPr>
        <w:tabs>
          <w:tab w:val="left" w:pos="10206"/>
        </w:tabs>
        <w:autoSpaceDE w:val="0"/>
        <w:autoSpaceDN w:val="0"/>
        <w:adjustRightInd w:val="0"/>
        <w:ind w:right="-283"/>
        <w:rPr>
          <w:rFonts w:cs="Helv"/>
          <w:color w:val="000000"/>
          <w:szCs w:val="24"/>
        </w:rPr>
      </w:pPr>
      <w:r>
        <w:rPr>
          <w:rFonts w:cs="Arial"/>
        </w:rPr>
        <w:t>On the</w:t>
      </w:r>
      <w:r w:rsidR="00D953CB">
        <w:rPr>
          <w:rFonts w:cs="Arial"/>
        </w:rPr>
        <w:t xml:space="preserve"> basis </w:t>
      </w:r>
      <w:r w:rsidR="00603121">
        <w:rPr>
          <w:rFonts w:cs="Arial"/>
        </w:rPr>
        <w:t xml:space="preserve">of the feedback from this initial stage of consultation, together with </w:t>
      </w:r>
      <w:r w:rsidR="00881C34">
        <w:rPr>
          <w:rFonts w:cs="Arial"/>
        </w:rPr>
        <w:t>consideration of the education rationale for the project,</w:t>
      </w:r>
      <w:r w:rsidR="00603121">
        <w:rPr>
          <w:rFonts w:cs="Arial"/>
        </w:rPr>
        <w:t xml:space="preserve"> a joint panel </w:t>
      </w:r>
      <w:r w:rsidR="00881C34">
        <w:rPr>
          <w:rFonts w:cs="Arial"/>
        </w:rPr>
        <w:t>(</w:t>
      </w:r>
      <w:r w:rsidR="00603121">
        <w:rPr>
          <w:rFonts w:cs="Arial"/>
        </w:rPr>
        <w:t>comprising represen</w:t>
      </w:r>
      <w:r w:rsidR="00D2605C">
        <w:rPr>
          <w:rFonts w:cs="Arial"/>
        </w:rPr>
        <w:t xml:space="preserve">tation from SCC, the </w:t>
      </w:r>
      <w:r w:rsidR="00603121">
        <w:rPr>
          <w:rFonts w:cs="Arial"/>
        </w:rPr>
        <w:t>Southwark</w:t>
      </w:r>
      <w:r w:rsidR="00D2605C">
        <w:rPr>
          <w:rFonts w:cs="Arial"/>
        </w:rPr>
        <w:t xml:space="preserve"> Diocesan Board of Education</w:t>
      </w:r>
      <w:r w:rsidR="00603121">
        <w:rPr>
          <w:rFonts w:cs="Arial"/>
        </w:rPr>
        <w:t xml:space="preserve"> and the Governing Bodies of St. Mary’s C of E Junior School and Downs Way School</w:t>
      </w:r>
      <w:r w:rsidR="00881C34">
        <w:rPr>
          <w:rFonts w:cs="Arial"/>
        </w:rPr>
        <w:t>)</w:t>
      </w:r>
      <w:r>
        <w:rPr>
          <w:rFonts w:cs="Arial"/>
        </w:rPr>
        <w:t xml:space="preserve"> met on 20 December 2016 and</w:t>
      </w:r>
      <w:r w:rsidR="00603121">
        <w:rPr>
          <w:rFonts w:cs="Arial"/>
        </w:rPr>
        <w:t xml:space="preserve"> </w:t>
      </w:r>
      <w:r w:rsidR="00881C34">
        <w:rPr>
          <w:rFonts w:cs="Arial"/>
        </w:rPr>
        <w:t xml:space="preserve">determined that the proposal should proceed to the next stage of the statutory process, which involved the publishing of statutory notices, as well as the initiation of the current </w:t>
      </w:r>
      <w:r w:rsidR="006B4E23">
        <w:rPr>
          <w:rFonts w:cs="Arial"/>
        </w:rPr>
        <w:t>4-wee</w:t>
      </w:r>
      <w:r w:rsidR="00765964">
        <w:rPr>
          <w:rFonts w:cs="Arial"/>
        </w:rPr>
        <w:t xml:space="preserve">k </w:t>
      </w:r>
      <w:r w:rsidR="00881C34">
        <w:rPr>
          <w:rFonts w:cs="Arial"/>
        </w:rPr>
        <w:t>phase of consultation.</w:t>
      </w:r>
      <w:r w:rsidR="00B874DB">
        <w:rPr>
          <w:rFonts w:cs="Arial"/>
        </w:rPr>
        <w:t xml:space="preserve"> This decision was ratified by Surrey County Council’s Cabinet Member for Schools, Skills and Educational Achievement at a meeting on</w:t>
      </w:r>
      <w:r>
        <w:rPr>
          <w:rFonts w:cs="Arial"/>
        </w:rPr>
        <w:t xml:space="preserve"> </w:t>
      </w:r>
      <w:r w:rsidR="00CA10C3">
        <w:rPr>
          <w:rFonts w:cs="Arial"/>
        </w:rPr>
        <w:t>17 January 2017</w:t>
      </w:r>
      <w:r w:rsidR="00B874DB">
        <w:rPr>
          <w:rFonts w:cs="Arial"/>
        </w:rPr>
        <w:t>. Feedback from the first stage of consultation is serving to inform the approach to the proposal. In particular, as a result of several respondents raising concerns related to traffic and parking at peak drop-off and pick-up times, St. Mary’s C of E Junior School has worked with a group of parents to develop a walking bus scheme. Should the proposals be implemented</w:t>
      </w:r>
      <w:r w:rsidR="00C85367">
        <w:rPr>
          <w:rFonts w:cs="Arial"/>
        </w:rPr>
        <w:t>, it is anticipated that this work will continue, in tandem with the development of a new School Travel Plan.</w:t>
      </w:r>
    </w:p>
    <w:p w:rsidR="009C3CEA" w:rsidRPr="009C3CEA" w:rsidRDefault="009C3CEA" w:rsidP="009C3CEA">
      <w:pPr>
        <w:tabs>
          <w:tab w:val="left" w:pos="10206"/>
        </w:tabs>
        <w:autoSpaceDE w:val="0"/>
        <w:autoSpaceDN w:val="0"/>
        <w:adjustRightInd w:val="0"/>
        <w:ind w:left="142" w:right="-283"/>
        <w:rPr>
          <w:rFonts w:cs="Helv"/>
          <w:color w:val="000000"/>
          <w:szCs w:val="24"/>
        </w:rPr>
      </w:pPr>
    </w:p>
    <w:p w:rsidR="006E4444" w:rsidRPr="00395FE7" w:rsidRDefault="00395FE7" w:rsidP="00395FE7">
      <w:pPr>
        <w:pStyle w:val="ListParagraph"/>
        <w:numPr>
          <w:ilvl w:val="0"/>
          <w:numId w:val="19"/>
        </w:numPr>
        <w:tabs>
          <w:tab w:val="left" w:pos="10206"/>
        </w:tabs>
        <w:autoSpaceDE w:val="0"/>
        <w:autoSpaceDN w:val="0"/>
        <w:adjustRightInd w:val="0"/>
        <w:ind w:right="-283"/>
        <w:rPr>
          <w:rFonts w:cs="Helv"/>
          <w:color w:val="000000"/>
          <w:szCs w:val="24"/>
        </w:rPr>
      </w:pPr>
      <w:r>
        <w:rPr>
          <w:rFonts w:cs="Arial"/>
        </w:rPr>
        <w:t>The current stage of consultation is</w:t>
      </w:r>
      <w:r w:rsidR="006E4444" w:rsidRPr="009C3CEA">
        <w:rPr>
          <w:rFonts w:cs="Arial"/>
        </w:rPr>
        <w:t xml:space="preserve"> informal and is proposed to run until 12 noon on </w:t>
      </w:r>
      <w:r w:rsidR="00CA10C3">
        <w:rPr>
          <w:rFonts w:cs="Arial"/>
          <w:b/>
          <w:color w:val="000000" w:themeColor="text1"/>
        </w:rPr>
        <w:t>22</w:t>
      </w:r>
      <w:r w:rsidR="006B4E23">
        <w:rPr>
          <w:rFonts w:cs="Arial"/>
          <w:b/>
          <w:color w:val="000000" w:themeColor="text1"/>
        </w:rPr>
        <w:t xml:space="preserve"> February</w:t>
      </w:r>
      <w:r w:rsidR="00327C84" w:rsidRPr="00327C84">
        <w:rPr>
          <w:rFonts w:cs="Arial"/>
          <w:b/>
          <w:color w:val="000000" w:themeColor="text1"/>
        </w:rPr>
        <w:t xml:space="preserve"> 201</w:t>
      </w:r>
      <w:r w:rsidR="006B4E23">
        <w:rPr>
          <w:rFonts w:cs="Arial"/>
          <w:b/>
          <w:color w:val="000000" w:themeColor="text1"/>
        </w:rPr>
        <w:t>7</w:t>
      </w:r>
      <w:r w:rsidR="00A06A0E">
        <w:rPr>
          <w:rFonts w:cs="Arial"/>
        </w:rPr>
        <w:t>.</w:t>
      </w:r>
      <w:r w:rsidR="006E4444" w:rsidRPr="009C3CEA">
        <w:rPr>
          <w:rFonts w:cs="Arial"/>
        </w:rPr>
        <w:t xml:space="preserve"> During this period</w:t>
      </w:r>
      <w:r>
        <w:rPr>
          <w:rFonts w:cs="Arial"/>
        </w:rPr>
        <w:t>,</w:t>
      </w:r>
      <w:r w:rsidR="006E4444" w:rsidRPr="009C3CEA">
        <w:rPr>
          <w:rFonts w:cs="Arial"/>
        </w:rPr>
        <w:t xml:space="preserve"> </w:t>
      </w:r>
      <w:r w:rsidR="004A059A">
        <w:rPr>
          <w:rFonts w:cs="Arial"/>
        </w:rPr>
        <w:t>the proposal will be shared</w:t>
      </w:r>
      <w:r w:rsidR="006E4444" w:rsidRPr="009C3CEA">
        <w:rPr>
          <w:rFonts w:cs="Arial"/>
        </w:rPr>
        <w:t xml:space="preserve"> with</w:t>
      </w:r>
      <w:r w:rsidR="004A059A">
        <w:rPr>
          <w:rFonts w:cs="Arial"/>
        </w:rPr>
        <w:t xml:space="preserve"> the wider professional network; local schools;</w:t>
      </w:r>
      <w:r w:rsidR="006E4444" w:rsidRPr="009C3CEA">
        <w:rPr>
          <w:rFonts w:cs="Arial"/>
        </w:rPr>
        <w:t xml:space="preserve"> </w:t>
      </w:r>
      <w:r w:rsidR="008D6EE0" w:rsidRPr="009C3CEA">
        <w:rPr>
          <w:rFonts w:cs="Arial"/>
        </w:rPr>
        <w:t>unions</w:t>
      </w:r>
      <w:r w:rsidR="004A059A">
        <w:rPr>
          <w:rFonts w:cs="Arial"/>
        </w:rPr>
        <w:t>; and</w:t>
      </w:r>
      <w:r w:rsidR="006E4444" w:rsidRPr="009C3CEA">
        <w:rPr>
          <w:rFonts w:cs="Arial"/>
        </w:rPr>
        <w:t xml:space="preserve"> the staff and parents of the </w:t>
      </w:r>
      <w:r w:rsidR="004A059A">
        <w:rPr>
          <w:rFonts w:cs="Arial"/>
        </w:rPr>
        <w:t>two schools concerned.</w:t>
      </w:r>
    </w:p>
    <w:p w:rsidR="00395FE7" w:rsidRDefault="00395FE7">
      <w:pPr>
        <w:spacing w:after="200" w:line="276" w:lineRule="auto"/>
        <w:rPr>
          <w:szCs w:val="24"/>
        </w:rPr>
      </w:pPr>
      <w:r>
        <w:rPr>
          <w:szCs w:val="24"/>
        </w:rPr>
        <w:br w:type="page"/>
      </w:r>
    </w:p>
    <w:p w:rsidR="004725C4" w:rsidRPr="00DD44BA" w:rsidRDefault="004725C4" w:rsidP="004725C4">
      <w:pPr>
        <w:spacing w:after="200" w:line="276" w:lineRule="auto"/>
      </w:pPr>
      <w:r w:rsidRPr="004A62C8">
        <w:rPr>
          <w:b/>
          <w:sz w:val="32"/>
          <w:szCs w:val="32"/>
        </w:rPr>
        <w:lastRenderedPageBreak/>
        <w:t>Have your say</w:t>
      </w:r>
    </w:p>
    <w:p w:rsidR="004725C4" w:rsidRPr="004A62C8" w:rsidRDefault="004725C4" w:rsidP="004725C4">
      <w:pPr>
        <w:pStyle w:val="FooterOdd"/>
        <w:rPr>
          <w:rFonts w:ascii="Arial" w:hAnsi="Arial" w:cs="Arial"/>
          <w:sz w:val="24"/>
          <w:szCs w:val="24"/>
          <w:lang w:val="en-US"/>
        </w:rPr>
      </w:pPr>
      <w:r w:rsidRPr="004A62C8">
        <w:rPr>
          <w:rFonts w:ascii="Arial" w:hAnsi="Arial" w:cs="Arial"/>
          <w:sz w:val="24"/>
          <w:szCs w:val="24"/>
          <w:lang w:val="en-US"/>
        </w:rPr>
        <w:t>Surrey County Council</w:t>
      </w:r>
      <w:r w:rsidR="004A62C8">
        <w:rPr>
          <w:rFonts w:ascii="Arial" w:hAnsi="Arial" w:cs="Arial"/>
          <w:sz w:val="24"/>
          <w:szCs w:val="24"/>
          <w:lang w:val="en-US"/>
        </w:rPr>
        <w:t>,</w:t>
      </w:r>
      <w:r w:rsidRPr="004A62C8">
        <w:rPr>
          <w:rFonts w:ascii="Arial" w:hAnsi="Arial" w:cs="Arial"/>
          <w:bCs/>
          <w:sz w:val="24"/>
          <w:szCs w:val="24"/>
          <w:lang w:val="en-US"/>
        </w:rPr>
        <w:t xml:space="preserve"> </w:t>
      </w:r>
      <w:r w:rsidR="00D2605C">
        <w:rPr>
          <w:rFonts w:ascii="Arial" w:hAnsi="Arial" w:cs="Arial"/>
          <w:sz w:val="24"/>
          <w:szCs w:val="24"/>
        </w:rPr>
        <w:t xml:space="preserve">the </w:t>
      </w:r>
      <w:r w:rsidR="004A62C8" w:rsidRPr="004A62C8">
        <w:rPr>
          <w:rFonts w:ascii="Arial" w:hAnsi="Arial" w:cs="Arial"/>
          <w:sz w:val="24"/>
          <w:szCs w:val="24"/>
        </w:rPr>
        <w:t>Southwark</w:t>
      </w:r>
      <w:r w:rsidR="00D2605C">
        <w:rPr>
          <w:rFonts w:ascii="Arial" w:hAnsi="Arial" w:cs="Arial"/>
          <w:sz w:val="24"/>
          <w:szCs w:val="24"/>
        </w:rPr>
        <w:t xml:space="preserve"> Diocesan Board of Education</w:t>
      </w:r>
      <w:r w:rsidR="004A62C8" w:rsidRPr="004A62C8">
        <w:rPr>
          <w:rFonts w:ascii="Arial" w:hAnsi="Arial" w:cs="Arial"/>
          <w:sz w:val="24"/>
          <w:szCs w:val="24"/>
        </w:rPr>
        <w:t xml:space="preserve"> and the Governing Bodies of St. Mary’s C of E Junior School and Downs Way School</w:t>
      </w:r>
      <w:r w:rsidR="004A62C8" w:rsidRPr="004A62C8">
        <w:rPr>
          <w:rFonts w:ascii="Arial" w:hAnsi="Arial" w:cs="Arial"/>
          <w:sz w:val="24"/>
          <w:szCs w:val="24"/>
          <w:lang w:val="en-US"/>
        </w:rPr>
        <w:t xml:space="preserve"> </w:t>
      </w:r>
      <w:r w:rsidRPr="004A62C8">
        <w:rPr>
          <w:rFonts w:ascii="Arial" w:hAnsi="Arial" w:cs="Arial"/>
          <w:sz w:val="24"/>
          <w:szCs w:val="24"/>
          <w:lang w:val="en-US"/>
        </w:rPr>
        <w:t xml:space="preserve">would like to know what the community thinks about this proposal.  The consultation will open on </w:t>
      </w:r>
      <w:r w:rsidR="00CA10C3">
        <w:rPr>
          <w:rFonts w:ascii="Arial" w:hAnsi="Arial" w:cs="Arial"/>
          <w:b/>
          <w:sz w:val="24"/>
          <w:szCs w:val="24"/>
          <w:lang w:val="en-US"/>
        </w:rPr>
        <w:t>25</w:t>
      </w:r>
      <w:r w:rsidR="00F441FD">
        <w:rPr>
          <w:rFonts w:ascii="Arial" w:hAnsi="Arial" w:cs="Arial"/>
          <w:b/>
          <w:sz w:val="24"/>
          <w:szCs w:val="24"/>
          <w:lang w:val="en-US"/>
        </w:rPr>
        <w:t xml:space="preserve"> January</w:t>
      </w:r>
      <w:r w:rsidR="0041625F">
        <w:rPr>
          <w:rFonts w:ascii="Arial" w:hAnsi="Arial" w:cs="Arial"/>
          <w:b/>
          <w:sz w:val="24"/>
          <w:szCs w:val="24"/>
          <w:lang w:val="en-US"/>
        </w:rPr>
        <w:t xml:space="preserve"> 201</w:t>
      </w:r>
      <w:r w:rsidR="00F441FD">
        <w:rPr>
          <w:rFonts w:ascii="Arial" w:hAnsi="Arial" w:cs="Arial"/>
          <w:b/>
          <w:sz w:val="24"/>
          <w:szCs w:val="24"/>
          <w:lang w:val="en-US"/>
        </w:rPr>
        <w:t>7</w:t>
      </w:r>
      <w:r w:rsidRPr="004A62C8">
        <w:rPr>
          <w:rFonts w:ascii="Arial" w:hAnsi="Arial" w:cs="Arial"/>
          <w:sz w:val="24"/>
          <w:szCs w:val="24"/>
          <w:lang w:val="en-US"/>
        </w:rPr>
        <w:t>.</w:t>
      </w:r>
    </w:p>
    <w:p w:rsidR="004725C4" w:rsidRPr="00451CDF" w:rsidRDefault="004725C4" w:rsidP="004725C4">
      <w:pPr>
        <w:pStyle w:val="FooterOdd"/>
        <w:rPr>
          <w:rFonts w:ascii="Arial" w:hAnsi="Arial" w:cs="Arial"/>
          <w:sz w:val="24"/>
          <w:szCs w:val="24"/>
          <w:lang w:val="en-US"/>
        </w:rPr>
      </w:pPr>
    </w:p>
    <w:p w:rsidR="004725C4" w:rsidRDefault="004725C4" w:rsidP="004725C4">
      <w:pPr>
        <w:pStyle w:val="FooterOdd"/>
        <w:rPr>
          <w:rFonts w:ascii="Arial" w:hAnsi="Arial" w:cs="Arial"/>
          <w:sz w:val="24"/>
          <w:szCs w:val="24"/>
          <w:lang w:val="en-US"/>
        </w:rPr>
      </w:pPr>
      <w:r w:rsidRPr="00451CDF">
        <w:rPr>
          <w:rFonts w:ascii="Arial" w:hAnsi="Arial" w:cs="Arial"/>
          <w:sz w:val="24"/>
          <w:szCs w:val="24"/>
          <w:lang w:val="en-US"/>
        </w:rPr>
        <w:t>You can respond by:</w:t>
      </w:r>
    </w:p>
    <w:p w:rsidR="004725C4" w:rsidRPr="00451CDF" w:rsidRDefault="004725C4" w:rsidP="004725C4">
      <w:pPr>
        <w:pStyle w:val="FooterOdd"/>
        <w:rPr>
          <w:rFonts w:ascii="Arial" w:hAnsi="Arial" w:cs="Arial"/>
          <w:sz w:val="24"/>
          <w:szCs w:val="24"/>
          <w:lang w:val="en-US"/>
        </w:rPr>
      </w:pP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a) Accessing the consultation online on the ‘Surrey Says’ website:</w:t>
      </w:r>
      <w:r>
        <w:rPr>
          <w:rFonts w:ascii="Arial" w:hAnsi="Arial" w:cs="Arial"/>
          <w:sz w:val="24"/>
          <w:szCs w:val="24"/>
          <w:lang w:val="en-US"/>
        </w:rPr>
        <w:t xml:space="preserve"> </w:t>
      </w:r>
      <w:hyperlink r:id="rId13" w:history="1">
        <w:r w:rsidRPr="00451CDF">
          <w:rPr>
            <w:rStyle w:val="Hyperlink"/>
            <w:rFonts w:ascii="Arial" w:hAnsi="Arial" w:cs="Arial"/>
            <w:sz w:val="24"/>
            <w:szCs w:val="24"/>
          </w:rPr>
          <w:t>www.surreysays.co.uk</w:t>
        </w:r>
      </w:hyperlink>
    </w:p>
    <w:p w:rsidR="004725C4" w:rsidRDefault="004725C4" w:rsidP="004725C4">
      <w:pPr>
        <w:pStyle w:val="FooterOdd"/>
        <w:rPr>
          <w:rFonts w:ascii="Arial" w:hAnsi="Arial" w:cs="Arial"/>
          <w:sz w:val="24"/>
          <w:szCs w:val="24"/>
        </w:rPr>
      </w:pPr>
      <w:r w:rsidRPr="00451CDF">
        <w:rPr>
          <w:rFonts w:ascii="Arial" w:hAnsi="Arial" w:cs="Arial"/>
          <w:sz w:val="24"/>
          <w:szCs w:val="24"/>
        </w:rPr>
        <w:t>and searching for the school’s consultation (school name or post code), or by scrolling through the list of open consultations.</w:t>
      </w:r>
    </w:p>
    <w:p w:rsidR="004725C4" w:rsidRPr="00451CDF" w:rsidRDefault="004725C4" w:rsidP="004725C4">
      <w:pPr>
        <w:pStyle w:val="FooterOdd"/>
        <w:rPr>
          <w:rFonts w:ascii="Arial" w:hAnsi="Arial" w:cs="Arial"/>
          <w:sz w:val="24"/>
          <w:szCs w:val="24"/>
        </w:rPr>
      </w:pP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rPr>
        <w:t xml:space="preserve">b) Completing the consultation response </w:t>
      </w:r>
      <w:r w:rsidRPr="00451CDF">
        <w:rPr>
          <w:rFonts w:ascii="Arial" w:hAnsi="Arial" w:cs="Arial"/>
          <w:sz w:val="24"/>
          <w:szCs w:val="24"/>
          <w:lang w:val="en-US"/>
        </w:rPr>
        <w:t xml:space="preserve">form that is available </w:t>
      </w:r>
      <w:r>
        <w:rPr>
          <w:rFonts w:ascii="Arial" w:hAnsi="Arial" w:cs="Arial"/>
          <w:sz w:val="24"/>
          <w:szCs w:val="24"/>
          <w:lang w:val="en-US"/>
        </w:rPr>
        <w:t>at the end of</w:t>
      </w:r>
      <w:r w:rsidRPr="00451CDF">
        <w:rPr>
          <w:rFonts w:ascii="Arial" w:hAnsi="Arial" w:cs="Arial"/>
          <w:sz w:val="24"/>
          <w:szCs w:val="24"/>
          <w:lang w:val="en-US"/>
        </w:rPr>
        <w:t xml:space="preserve"> this document. You can email the form or print it, complete it and send it back to the address below. </w:t>
      </w:r>
    </w:p>
    <w:p w:rsidR="004725C4" w:rsidRPr="00451CDF" w:rsidRDefault="004725C4" w:rsidP="004725C4">
      <w:pPr>
        <w:pStyle w:val="FooterOdd"/>
        <w:rPr>
          <w:rFonts w:ascii="Arial" w:hAnsi="Arial" w:cs="Arial"/>
          <w:sz w:val="24"/>
          <w:szCs w:val="24"/>
          <w:lang w:val="en-US"/>
        </w:rPr>
      </w:pP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Oliver Gill</w:t>
      </w:r>
      <w:r w:rsidRPr="00451CDF">
        <w:rPr>
          <w:rFonts w:ascii="Arial" w:hAnsi="Arial" w:cs="Arial"/>
          <w:sz w:val="24"/>
          <w:szCs w:val="24"/>
          <w:lang w:val="en-US"/>
        </w:rPr>
        <w:t xml:space="preserve"> (</w:t>
      </w:r>
      <w:r>
        <w:rPr>
          <w:rFonts w:ascii="Arial" w:hAnsi="Arial" w:cs="Arial"/>
          <w:sz w:val="24"/>
          <w:szCs w:val="24"/>
          <w:lang w:val="en-US"/>
        </w:rPr>
        <w:t xml:space="preserve">Downs Way </w:t>
      </w:r>
      <w:r w:rsidR="004A62C8">
        <w:rPr>
          <w:rFonts w:ascii="Arial" w:hAnsi="Arial" w:cs="Arial"/>
          <w:sz w:val="24"/>
          <w:szCs w:val="24"/>
          <w:lang w:val="en-US"/>
        </w:rPr>
        <w:t>and St. Mary’s</w:t>
      </w:r>
      <w:r>
        <w:rPr>
          <w:rFonts w:ascii="Arial" w:hAnsi="Arial" w:cs="Arial"/>
          <w:sz w:val="24"/>
          <w:szCs w:val="24"/>
          <w:lang w:val="en-US"/>
        </w:rPr>
        <w:t xml:space="preserve"> Consultation</w:t>
      </w:r>
      <w:r w:rsidRPr="00451CDF">
        <w:rPr>
          <w:rFonts w:ascii="Arial" w:hAnsi="Arial" w:cs="Arial"/>
          <w:sz w:val="24"/>
          <w:szCs w:val="24"/>
          <w:lang w:val="en-US"/>
        </w:rPr>
        <w:t>)</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County Hall</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Penrhyn Road</w:t>
      </w:r>
    </w:p>
    <w:p w:rsidR="004725C4" w:rsidRDefault="004725C4" w:rsidP="004725C4">
      <w:pPr>
        <w:pStyle w:val="FooterOdd"/>
        <w:rPr>
          <w:rFonts w:ascii="Arial" w:hAnsi="Arial" w:cs="Arial"/>
          <w:sz w:val="24"/>
          <w:szCs w:val="24"/>
          <w:lang w:val="en-US"/>
        </w:rPr>
      </w:pPr>
      <w:r>
        <w:rPr>
          <w:rFonts w:ascii="Arial" w:hAnsi="Arial" w:cs="Arial"/>
          <w:sz w:val="24"/>
          <w:szCs w:val="24"/>
          <w:lang w:val="en-US"/>
        </w:rPr>
        <w:t>Kingston-upon-</w:t>
      </w:r>
      <w:r w:rsidRPr="00451CDF">
        <w:rPr>
          <w:rFonts w:ascii="Arial" w:hAnsi="Arial" w:cs="Arial"/>
          <w:sz w:val="24"/>
          <w:szCs w:val="24"/>
          <w:lang w:val="en-US"/>
        </w:rPr>
        <w:t>Thames</w:t>
      </w: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Surrey</w:t>
      </w: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KT1 2DN</w:t>
      </w:r>
    </w:p>
    <w:p w:rsidR="004725C4" w:rsidRPr="00451CDF" w:rsidRDefault="004725C4" w:rsidP="004725C4">
      <w:pPr>
        <w:pStyle w:val="FooterOdd"/>
        <w:rPr>
          <w:rFonts w:ascii="Arial" w:hAnsi="Arial" w:cs="Arial"/>
          <w:sz w:val="24"/>
          <w:szCs w:val="24"/>
          <w:lang w:val="en-US"/>
        </w:rPr>
      </w:pP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FAO Oliver Gill</w:t>
      </w:r>
      <w:r w:rsidRPr="00451CDF">
        <w:rPr>
          <w:rFonts w:ascii="Arial" w:hAnsi="Arial" w:cs="Arial"/>
          <w:sz w:val="24"/>
          <w:szCs w:val="24"/>
          <w:lang w:val="en-US"/>
        </w:rPr>
        <w:t xml:space="preserve"> (</w:t>
      </w:r>
      <w:r w:rsidR="004A62C8">
        <w:rPr>
          <w:rFonts w:ascii="Arial" w:hAnsi="Arial" w:cs="Arial"/>
          <w:sz w:val="24"/>
          <w:szCs w:val="24"/>
          <w:lang w:val="en-US"/>
        </w:rPr>
        <w:t>Downs Way and St. Mary’s</w:t>
      </w:r>
      <w:r>
        <w:rPr>
          <w:rFonts w:ascii="Arial" w:hAnsi="Arial" w:cs="Arial"/>
          <w:sz w:val="24"/>
          <w:szCs w:val="24"/>
          <w:lang w:val="en-US"/>
        </w:rPr>
        <w:t xml:space="preserve"> Consultation</w:t>
      </w:r>
      <w:r w:rsidRPr="00451CDF">
        <w:rPr>
          <w:rFonts w:ascii="Arial" w:hAnsi="Arial" w:cs="Arial"/>
          <w:sz w:val="24"/>
          <w:szCs w:val="24"/>
          <w:lang w:val="en-US"/>
        </w:rPr>
        <w:t>) to:</w:t>
      </w:r>
    </w:p>
    <w:p w:rsidR="004725C4" w:rsidRPr="00451CDF" w:rsidRDefault="00784F62" w:rsidP="004725C4">
      <w:pPr>
        <w:pStyle w:val="FooterOdd"/>
        <w:rPr>
          <w:rFonts w:ascii="Arial" w:hAnsi="Arial" w:cs="Arial"/>
          <w:sz w:val="24"/>
          <w:szCs w:val="24"/>
          <w:lang w:val="en-US"/>
        </w:rPr>
      </w:pPr>
      <w:hyperlink r:id="rId14" w:history="1">
        <w:r w:rsidR="004725C4" w:rsidRPr="00451CDF">
          <w:rPr>
            <w:rStyle w:val="Hyperlink"/>
            <w:rFonts w:ascii="Arial" w:hAnsi="Arial" w:cs="Arial"/>
            <w:sz w:val="24"/>
            <w:szCs w:val="24"/>
            <w:lang w:val="en-US"/>
          </w:rPr>
          <w:t>schoolorg@surreycc.gov.uk</w:t>
        </w:r>
      </w:hyperlink>
    </w:p>
    <w:p w:rsidR="004725C4" w:rsidRPr="00451CDF" w:rsidRDefault="004725C4" w:rsidP="004725C4">
      <w:pPr>
        <w:pStyle w:val="FooterOdd"/>
        <w:rPr>
          <w:rFonts w:ascii="Arial" w:hAnsi="Arial" w:cs="Arial"/>
          <w:sz w:val="24"/>
          <w:szCs w:val="24"/>
          <w:lang w:val="en-US"/>
        </w:rPr>
      </w:pPr>
    </w:p>
    <w:p w:rsidR="004725C4" w:rsidRPr="00327C84" w:rsidRDefault="004725C4" w:rsidP="004725C4">
      <w:pPr>
        <w:pStyle w:val="FooterOdd"/>
        <w:rPr>
          <w:rFonts w:ascii="Arial" w:hAnsi="Arial" w:cs="Arial"/>
          <w:bCs/>
          <w:sz w:val="24"/>
          <w:szCs w:val="24"/>
          <w:u w:val="single"/>
          <w:lang w:val="en-US"/>
        </w:rPr>
      </w:pPr>
      <w:r w:rsidRPr="00451CDF">
        <w:rPr>
          <w:rFonts w:ascii="Arial" w:hAnsi="Arial" w:cs="Arial"/>
          <w:sz w:val="24"/>
          <w:szCs w:val="24"/>
          <w:u w:val="single"/>
          <w:lang w:val="en-US"/>
        </w:rPr>
        <w:t xml:space="preserve">All responses must be received by noon on </w:t>
      </w:r>
      <w:r w:rsidR="00CA10C3">
        <w:rPr>
          <w:rFonts w:ascii="Arial" w:hAnsi="Arial" w:cs="Arial"/>
          <w:b/>
          <w:sz w:val="24"/>
          <w:szCs w:val="24"/>
          <w:u w:val="single"/>
          <w:lang w:val="en-US"/>
        </w:rPr>
        <w:t>22</w:t>
      </w:r>
      <w:r w:rsidR="00F441FD">
        <w:rPr>
          <w:rFonts w:ascii="Arial" w:hAnsi="Arial" w:cs="Arial"/>
          <w:b/>
          <w:sz w:val="24"/>
          <w:szCs w:val="24"/>
          <w:u w:val="single"/>
          <w:lang w:val="en-US"/>
        </w:rPr>
        <w:t xml:space="preserve"> February</w:t>
      </w:r>
      <w:r w:rsidR="00327C84">
        <w:rPr>
          <w:rFonts w:ascii="Arial" w:hAnsi="Arial" w:cs="Arial"/>
          <w:b/>
          <w:sz w:val="24"/>
          <w:szCs w:val="24"/>
          <w:u w:val="single"/>
          <w:lang w:val="en-US"/>
        </w:rPr>
        <w:t xml:space="preserve"> 201</w:t>
      </w:r>
      <w:r w:rsidR="00F441FD">
        <w:rPr>
          <w:rFonts w:ascii="Arial" w:hAnsi="Arial" w:cs="Arial"/>
          <w:b/>
          <w:sz w:val="24"/>
          <w:szCs w:val="24"/>
          <w:u w:val="single"/>
          <w:lang w:val="en-US"/>
        </w:rPr>
        <w:t>7</w:t>
      </w:r>
      <w:r w:rsidR="00327C84">
        <w:rPr>
          <w:rFonts w:ascii="Arial" w:hAnsi="Arial" w:cs="Arial"/>
          <w:sz w:val="24"/>
          <w:szCs w:val="24"/>
          <w:u w:val="single"/>
          <w:lang w:val="en-US"/>
        </w:rPr>
        <w:t>.</w:t>
      </w:r>
    </w:p>
    <w:p w:rsidR="004725C4" w:rsidRPr="00115E07" w:rsidRDefault="004725C4" w:rsidP="004725C4"/>
    <w:p w:rsidR="004725C4" w:rsidRDefault="004725C4" w:rsidP="004725C4">
      <w:pPr>
        <w:pStyle w:val="Heading1"/>
        <w:spacing w:after="0"/>
        <w:rPr>
          <w:b/>
          <w:sz w:val="32"/>
          <w:szCs w:val="32"/>
        </w:rPr>
      </w:pPr>
    </w:p>
    <w:p w:rsidR="004725C4" w:rsidRDefault="004725C4" w:rsidP="004725C4">
      <w:pPr>
        <w:pStyle w:val="Heading1"/>
        <w:spacing w:after="0"/>
        <w:rPr>
          <w:b/>
          <w:sz w:val="32"/>
          <w:szCs w:val="32"/>
        </w:rPr>
      </w:pPr>
      <w:r w:rsidRPr="00DF1CDC">
        <w:rPr>
          <w:b/>
          <w:sz w:val="32"/>
          <w:szCs w:val="32"/>
        </w:rPr>
        <w:t>What happens next?</w:t>
      </w:r>
    </w:p>
    <w:p w:rsidR="003364D4" w:rsidRPr="00B53C4E" w:rsidRDefault="003364D4" w:rsidP="004725C4">
      <w:pPr>
        <w:pStyle w:val="Text"/>
      </w:pPr>
    </w:p>
    <w:p w:rsidR="007F3C1D" w:rsidRDefault="004725C4" w:rsidP="007F3C1D">
      <w:pPr>
        <w:pStyle w:val="Text"/>
      </w:pPr>
      <w:r w:rsidRPr="00B53C4E">
        <w:t xml:space="preserve">At the end of </w:t>
      </w:r>
      <w:r w:rsidR="004A62C8">
        <w:t>the c</w:t>
      </w:r>
      <w:r w:rsidRPr="00B53C4E">
        <w:t>onsultation</w:t>
      </w:r>
      <w:r w:rsidR="004A62C8">
        <w:t xml:space="preserve"> period</w:t>
      </w:r>
      <w:r w:rsidRPr="00B53C4E">
        <w:rPr>
          <w:rStyle w:val="CommentReference"/>
          <w:rFonts w:ascii="Times New Roman" w:hAnsi="Times New Roman"/>
        </w:rPr>
        <w:t>,</w:t>
      </w:r>
      <w:r w:rsidR="004A62C8">
        <w:t xml:space="preserve"> </w:t>
      </w:r>
      <w:r w:rsidR="00281A61">
        <w:t>the decision on whether to formally approve the proposals will be referred to the Leader of Surrey County Council and the Governing Body of St. Mary’s C of E Junior School</w:t>
      </w:r>
      <w:r w:rsidR="00F875EC">
        <w:t xml:space="preserve"> for a decision in March 2017</w:t>
      </w:r>
      <w:r w:rsidR="00281A61">
        <w:t xml:space="preserve">. Surrey County Council will decide on the proposal to close Downs Way School. The Governing Body of St. Mary’s C of E Junior School will decide on the proposals to alter the lower age limit and expand the KS2 provision of that school. </w:t>
      </w:r>
      <w:r w:rsidR="007F3C1D">
        <w:t>The outcome of the consultation process and the decision taken will be published on both the Council website:</w:t>
      </w:r>
    </w:p>
    <w:p w:rsidR="007F3C1D" w:rsidRDefault="007F3C1D" w:rsidP="007F3C1D">
      <w:pPr>
        <w:pStyle w:val="Text"/>
      </w:pPr>
    </w:p>
    <w:p w:rsidR="007F3C1D" w:rsidRDefault="00784F62" w:rsidP="004725C4">
      <w:pPr>
        <w:pStyle w:val="Text"/>
      </w:pPr>
      <w:hyperlink r:id="rId15" w:history="1">
        <w:r w:rsidR="007F3C1D" w:rsidRPr="00244AF5">
          <w:rPr>
            <w:rStyle w:val="Hyperlink"/>
          </w:rPr>
          <w:t>https://mycouncil.surreycc.gov.uk/ieListMeetings.aspx?CId=182&amp;Year=0</w:t>
        </w:r>
      </w:hyperlink>
    </w:p>
    <w:p w:rsidR="007F3C1D" w:rsidRDefault="007F3C1D" w:rsidP="004725C4">
      <w:pPr>
        <w:pStyle w:val="Text"/>
      </w:pPr>
    </w:p>
    <w:p w:rsidR="007F3C1D" w:rsidRDefault="007F3C1D" w:rsidP="004725C4">
      <w:pPr>
        <w:pStyle w:val="Text"/>
      </w:pPr>
      <w:r>
        <w:t>and the website of St. Mary’s C of E Junior School:</w:t>
      </w:r>
    </w:p>
    <w:p w:rsidR="007F3C1D" w:rsidRDefault="007F3C1D" w:rsidP="004725C4">
      <w:pPr>
        <w:pStyle w:val="Text"/>
      </w:pPr>
    </w:p>
    <w:p w:rsidR="007F3C1D" w:rsidRDefault="00784F62" w:rsidP="004725C4">
      <w:pPr>
        <w:pStyle w:val="Text"/>
      </w:pPr>
      <w:hyperlink r:id="rId16" w:history="1">
        <w:r w:rsidR="007F3C1D" w:rsidRPr="00244AF5">
          <w:rPr>
            <w:rStyle w:val="Hyperlink"/>
          </w:rPr>
          <w:t>http://www.st-marys-oxted.surrey.sch.uk/</w:t>
        </w:r>
      </w:hyperlink>
    </w:p>
    <w:p w:rsidR="007F3C1D" w:rsidRDefault="007F3C1D" w:rsidP="004725C4">
      <w:pPr>
        <w:pStyle w:val="Text"/>
      </w:pPr>
    </w:p>
    <w:p w:rsidR="004725C4" w:rsidRDefault="007F3C1D" w:rsidP="004725C4">
      <w:pPr>
        <w:pStyle w:val="Text"/>
        <w:rPr>
          <w:rFonts w:cs="Arial"/>
          <w:lang w:val="en-US"/>
        </w:rPr>
      </w:pPr>
      <w:r>
        <w:t xml:space="preserve">These decisions will be taken in partnership with one another and one set of proposals would not be implemented without the other also being implemented. </w:t>
      </w:r>
      <w:r w:rsidR="00281A61">
        <w:t>The responses received during both the informal consultation and representation period will be collated and fed into both decision making processes.</w:t>
      </w:r>
      <w:r w:rsidR="00663726">
        <w:t xml:space="preserve"> Should it be decided to proceed</w:t>
      </w:r>
      <w:r w:rsidR="00663726">
        <w:rPr>
          <w:rFonts w:cs="Arial"/>
          <w:lang w:val="en-US"/>
        </w:rPr>
        <w:t xml:space="preserve">, </w:t>
      </w:r>
      <w:r w:rsidR="00281A61">
        <w:rPr>
          <w:rFonts w:cs="Arial"/>
          <w:lang w:val="en-US"/>
        </w:rPr>
        <w:t>the intention would be to implement all of the proposals for September 2018.</w:t>
      </w:r>
    </w:p>
    <w:p w:rsidR="004725C4" w:rsidRDefault="004725C4" w:rsidP="004725C4">
      <w:pPr>
        <w:pStyle w:val="Heading1"/>
        <w:spacing w:after="0"/>
        <w:rPr>
          <w:b/>
          <w:sz w:val="32"/>
          <w:szCs w:val="32"/>
        </w:rPr>
      </w:pPr>
    </w:p>
    <w:p w:rsidR="004725C4" w:rsidRDefault="004725C4" w:rsidP="004725C4">
      <w:pPr>
        <w:pStyle w:val="Heading1"/>
        <w:spacing w:after="0"/>
        <w:rPr>
          <w:b/>
          <w:sz w:val="32"/>
          <w:szCs w:val="32"/>
        </w:rPr>
      </w:pPr>
      <w:r>
        <w:rPr>
          <w:b/>
          <w:sz w:val="32"/>
          <w:szCs w:val="32"/>
        </w:rPr>
        <w:t>Where can I obtain further information</w:t>
      </w:r>
      <w:r w:rsidRPr="00DF1CDC">
        <w:rPr>
          <w:b/>
          <w:sz w:val="32"/>
          <w:szCs w:val="32"/>
        </w:rPr>
        <w:t>?</w:t>
      </w:r>
    </w:p>
    <w:p w:rsidR="004725C4" w:rsidRDefault="004725C4" w:rsidP="004725C4">
      <w:pPr>
        <w:pStyle w:val="Text"/>
      </w:pPr>
    </w:p>
    <w:p w:rsidR="004725C4" w:rsidRDefault="004725C4" w:rsidP="004725C4">
      <w:pPr>
        <w:pStyle w:val="Textnospace"/>
      </w:pPr>
      <w:r>
        <w:t xml:space="preserve">You can find out more by contacting:  </w:t>
      </w:r>
    </w:p>
    <w:p w:rsidR="004725C4" w:rsidRDefault="004725C4" w:rsidP="004725C4">
      <w:pPr>
        <w:pStyle w:val="Textnospace"/>
      </w:pP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Oliver Gill</w:t>
      </w:r>
      <w:r w:rsidRPr="00451CDF">
        <w:rPr>
          <w:rFonts w:ascii="Arial" w:hAnsi="Arial" w:cs="Arial"/>
          <w:sz w:val="24"/>
          <w:szCs w:val="24"/>
          <w:lang w:val="en-US"/>
        </w:rPr>
        <w:t xml:space="preserve"> (</w:t>
      </w:r>
      <w:r>
        <w:rPr>
          <w:rFonts w:ascii="Arial" w:hAnsi="Arial" w:cs="Arial"/>
          <w:sz w:val="24"/>
          <w:szCs w:val="24"/>
          <w:lang w:val="en-US"/>
        </w:rPr>
        <w:t>Downs Way and St. Mary’s Consultation</w:t>
      </w:r>
      <w:r w:rsidRPr="00451CDF">
        <w:rPr>
          <w:rFonts w:ascii="Arial" w:hAnsi="Arial" w:cs="Arial"/>
          <w:sz w:val="24"/>
          <w:szCs w:val="24"/>
          <w:lang w:val="en-US"/>
        </w:rPr>
        <w:t>)</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 xml:space="preserve">Room 326 </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County Hall</w:t>
      </w:r>
    </w:p>
    <w:p w:rsidR="004725C4" w:rsidRPr="00451CDF" w:rsidRDefault="004725C4" w:rsidP="004725C4">
      <w:pPr>
        <w:pStyle w:val="FooterOdd"/>
        <w:rPr>
          <w:rFonts w:ascii="Arial" w:hAnsi="Arial" w:cs="Arial"/>
          <w:sz w:val="24"/>
          <w:szCs w:val="24"/>
          <w:lang w:val="en-US"/>
        </w:rPr>
      </w:pPr>
      <w:r w:rsidRPr="00451CDF">
        <w:rPr>
          <w:rFonts w:ascii="Arial" w:hAnsi="Arial" w:cs="Arial"/>
          <w:sz w:val="24"/>
          <w:szCs w:val="24"/>
          <w:lang w:val="en-US"/>
        </w:rPr>
        <w:t>Penrhyn Road</w:t>
      </w:r>
    </w:p>
    <w:p w:rsidR="004725C4" w:rsidRDefault="004725C4" w:rsidP="004725C4">
      <w:pPr>
        <w:pStyle w:val="FooterOdd"/>
        <w:rPr>
          <w:rFonts w:ascii="Arial" w:hAnsi="Arial" w:cs="Arial"/>
          <w:sz w:val="24"/>
          <w:szCs w:val="24"/>
          <w:lang w:val="en-US"/>
        </w:rPr>
      </w:pPr>
      <w:r>
        <w:rPr>
          <w:rFonts w:ascii="Arial" w:hAnsi="Arial" w:cs="Arial"/>
          <w:sz w:val="24"/>
          <w:szCs w:val="24"/>
          <w:lang w:val="en-US"/>
        </w:rPr>
        <w:t>Kingston-upon-</w:t>
      </w:r>
      <w:r w:rsidRPr="00451CDF">
        <w:rPr>
          <w:rFonts w:ascii="Arial" w:hAnsi="Arial" w:cs="Arial"/>
          <w:sz w:val="24"/>
          <w:szCs w:val="24"/>
          <w:lang w:val="en-US"/>
        </w:rPr>
        <w:t>Thames</w:t>
      </w: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Surrey</w:t>
      </w:r>
    </w:p>
    <w:p w:rsidR="004725C4" w:rsidRPr="00451CDF" w:rsidRDefault="004725C4" w:rsidP="004725C4">
      <w:pPr>
        <w:pStyle w:val="FooterOdd"/>
        <w:rPr>
          <w:rFonts w:ascii="Arial" w:hAnsi="Arial" w:cs="Arial"/>
          <w:sz w:val="24"/>
          <w:szCs w:val="24"/>
          <w:lang w:val="en-US"/>
        </w:rPr>
      </w:pPr>
      <w:r>
        <w:rPr>
          <w:rFonts w:ascii="Arial" w:hAnsi="Arial" w:cs="Arial"/>
          <w:sz w:val="24"/>
          <w:szCs w:val="24"/>
          <w:lang w:val="en-US"/>
        </w:rPr>
        <w:t>KT1 2DN</w:t>
      </w:r>
    </w:p>
    <w:p w:rsidR="004725C4" w:rsidRDefault="004725C4" w:rsidP="004725C4">
      <w:pPr>
        <w:pStyle w:val="Textnospace"/>
      </w:pPr>
      <w:r>
        <w:tab/>
      </w:r>
    </w:p>
    <w:p w:rsidR="004725C4" w:rsidRDefault="004725C4" w:rsidP="004725C4">
      <w:pPr>
        <w:pStyle w:val="Textnospace"/>
      </w:pPr>
      <w:r>
        <w:t xml:space="preserve">email: </w:t>
      </w:r>
      <w:hyperlink r:id="rId17" w:history="1">
        <w:r w:rsidRPr="00D863ED">
          <w:rPr>
            <w:rStyle w:val="Hyperlink"/>
          </w:rPr>
          <w:t>schoolorg@surreycc.gov.uk</w:t>
        </w:r>
      </w:hyperlink>
    </w:p>
    <w:p w:rsidR="009A2E1B" w:rsidRPr="00E30702" w:rsidRDefault="009A2E1B" w:rsidP="004725C4">
      <w:pPr>
        <w:tabs>
          <w:tab w:val="left" w:pos="10206"/>
        </w:tabs>
        <w:spacing w:after="200" w:line="276" w:lineRule="auto"/>
        <w:ind w:right="-283"/>
        <w:rPr>
          <w:rFonts w:cs="Arial"/>
          <w:lang w:val="en-US"/>
        </w:rPr>
      </w:pPr>
    </w:p>
    <w:sectPr w:rsidR="009A2E1B" w:rsidRPr="00E30702" w:rsidSect="005E63E3">
      <w:headerReference w:type="default" r:id="rId18"/>
      <w:footerReference w:type="default" r:id="rId19"/>
      <w:pgSz w:w="11906" w:h="16838"/>
      <w:pgMar w:top="1115" w:right="1274" w:bottom="1134" w:left="709" w:header="284"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4DB" w:rsidRDefault="00B874DB" w:rsidP="000E1268">
      <w:r>
        <w:separator/>
      </w:r>
    </w:p>
  </w:endnote>
  <w:endnote w:type="continuationSeparator" w:id="0">
    <w:p w:rsidR="00B874DB" w:rsidRDefault="00B874DB" w:rsidP="000E1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DB" w:rsidRDefault="00B874DB" w:rsidP="00A60B12">
    <w:pPr>
      <w:pStyle w:val="Footer"/>
      <w:jc w:val="right"/>
    </w:pPr>
    <w:r>
      <w:t xml:space="preserve">Page </w:t>
    </w:r>
    <w:sdt>
      <w:sdtPr>
        <w:id w:val="18916094"/>
        <w:docPartObj>
          <w:docPartGallery w:val="Page Numbers (Bottom of Page)"/>
          <w:docPartUnique/>
        </w:docPartObj>
      </w:sdtPr>
      <w:sdtContent>
        <w:fldSimple w:instr=" PAGE   \* MERGEFORMAT ">
          <w:r w:rsidR="002C1263">
            <w:rPr>
              <w:noProof/>
            </w:rPr>
            <w:t>2</w:t>
          </w:r>
        </w:fldSimple>
        <w:r>
          <w:t xml:space="preserve"> </w:t>
        </w:r>
      </w:sdtContent>
    </w:sdt>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4DB" w:rsidRDefault="00B874DB" w:rsidP="000E1268">
      <w:r>
        <w:separator/>
      </w:r>
    </w:p>
  </w:footnote>
  <w:footnote w:type="continuationSeparator" w:id="0">
    <w:p w:rsidR="00B874DB" w:rsidRDefault="00B874DB" w:rsidP="000E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DB" w:rsidRPr="00856AB5" w:rsidRDefault="00B874DB" w:rsidP="00A60B12">
    <w:pPr>
      <w:pStyle w:val="Header"/>
      <w:jc w:val="right"/>
      <w:rPr>
        <w:sz w:val="16"/>
        <w:szCs w:val="16"/>
      </w:rPr>
    </w:pPr>
    <w:r>
      <w:rPr>
        <w:sz w:val="16"/>
        <w:szCs w:val="16"/>
      </w:rPr>
      <w:t>Amalgamation of Downs Way School and St. Mary’s C of E Junior School Schools</w:t>
    </w:r>
    <w:r w:rsidRPr="00856AB5">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4CA"/>
    <w:multiLevelType w:val="hybridMultilevel"/>
    <w:tmpl w:val="130C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81699"/>
    <w:multiLevelType w:val="hybridMultilevel"/>
    <w:tmpl w:val="1DF6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B62F8"/>
    <w:multiLevelType w:val="hybridMultilevel"/>
    <w:tmpl w:val="073E14BC"/>
    <w:lvl w:ilvl="0" w:tplc="E4F07B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62E68"/>
    <w:multiLevelType w:val="hybridMultilevel"/>
    <w:tmpl w:val="323C8B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BFC04EF"/>
    <w:multiLevelType w:val="hybridMultilevel"/>
    <w:tmpl w:val="DE7CEF9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nsid w:val="11E830CA"/>
    <w:multiLevelType w:val="hybridMultilevel"/>
    <w:tmpl w:val="035AE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3509A1"/>
    <w:multiLevelType w:val="hybridMultilevel"/>
    <w:tmpl w:val="D19CEBEC"/>
    <w:lvl w:ilvl="0" w:tplc="21E484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613B9"/>
    <w:multiLevelType w:val="hybridMultilevel"/>
    <w:tmpl w:val="9D3A5CA2"/>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EF26F2"/>
    <w:multiLevelType w:val="hybridMultilevel"/>
    <w:tmpl w:val="1F88134A"/>
    <w:lvl w:ilvl="0" w:tplc="C4F0AF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FD1C3C"/>
    <w:multiLevelType w:val="hybridMultilevel"/>
    <w:tmpl w:val="ACF2525C"/>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B4C53"/>
    <w:multiLevelType w:val="hybridMultilevel"/>
    <w:tmpl w:val="934444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F812A1D"/>
    <w:multiLevelType w:val="hybridMultilevel"/>
    <w:tmpl w:val="B59CC708"/>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120287"/>
    <w:multiLevelType w:val="hybridMultilevel"/>
    <w:tmpl w:val="854C21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4D76138"/>
    <w:multiLevelType w:val="hybridMultilevel"/>
    <w:tmpl w:val="B70852DE"/>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69398F"/>
    <w:multiLevelType w:val="hybridMultilevel"/>
    <w:tmpl w:val="7F06A326"/>
    <w:lvl w:ilvl="0" w:tplc="D2FE1B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9F7981"/>
    <w:multiLevelType w:val="hybridMultilevel"/>
    <w:tmpl w:val="14B4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385757"/>
    <w:multiLevelType w:val="hybridMultilevel"/>
    <w:tmpl w:val="EBFCC356"/>
    <w:lvl w:ilvl="0" w:tplc="96B077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B45D2D"/>
    <w:multiLevelType w:val="hybridMultilevel"/>
    <w:tmpl w:val="570CE1BC"/>
    <w:lvl w:ilvl="0" w:tplc="2640AF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786F2A"/>
    <w:multiLevelType w:val="hybridMultilevel"/>
    <w:tmpl w:val="3D2876E0"/>
    <w:lvl w:ilvl="0" w:tplc="EB688F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C6218C"/>
    <w:multiLevelType w:val="hybridMultilevel"/>
    <w:tmpl w:val="9EBA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36715D"/>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32540E"/>
    <w:multiLevelType w:val="hybridMultilevel"/>
    <w:tmpl w:val="E9CCEC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FFD2926"/>
    <w:multiLevelType w:val="hybridMultilevel"/>
    <w:tmpl w:val="ACF2525C"/>
    <w:lvl w:ilvl="0" w:tplc="EB36138C">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F97334"/>
    <w:multiLevelType w:val="hybridMultilevel"/>
    <w:tmpl w:val="A7D87DB8"/>
    <w:lvl w:ilvl="0" w:tplc="2B9A3E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662AE7"/>
    <w:multiLevelType w:val="hybridMultilevel"/>
    <w:tmpl w:val="B65EA7EA"/>
    <w:lvl w:ilvl="0" w:tplc="EB36138C">
      <w:start w:val="1"/>
      <w:numFmt w:val="decimal"/>
      <w:lvlText w:val="%1."/>
      <w:lvlJc w:val="left"/>
      <w:pPr>
        <w:ind w:left="502" w:hanging="360"/>
      </w:pPr>
      <w:rPr>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8">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C573F7"/>
    <w:multiLevelType w:val="hybridMultilevel"/>
    <w:tmpl w:val="484AB84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0">
    <w:nsid w:val="7F0C3EFB"/>
    <w:multiLevelType w:val="hybridMultilevel"/>
    <w:tmpl w:val="CFD83DE8"/>
    <w:lvl w:ilvl="0" w:tplc="2D906AE2">
      <w:start w:val="1"/>
      <w:numFmt w:val="bullet"/>
      <w:pStyle w:val="ListParagraph"/>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30"/>
  </w:num>
  <w:num w:numId="4">
    <w:abstractNumId w:val="28"/>
  </w:num>
  <w:num w:numId="5">
    <w:abstractNumId w:val="31"/>
  </w:num>
  <w:num w:numId="6">
    <w:abstractNumId w:val="10"/>
  </w:num>
  <w:num w:numId="7">
    <w:abstractNumId w:val="23"/>
  </w:num>
  <w:num w:numId="8">
    <w:abstractNumId w:val="1"/>
  </w:num>
  <w:num w:numId="9">
    <w:abstractNumId w:val="0"/>
  </w:num>
  <w:num w:numId="10">
    <w:abstractNumId w:val="11"/>
  </w:num>
  <w:num w:numId="11">
    <w:abstractNumId w:val="9"/>
  </w:num>
  <w:num w:numId="12">
    <w:abstractNumId w:val="5"/>
  </w:num>
  <w:num w:numId="13">
    <w:abstractNumId w:val="22"/>
  </w:num>
  <w:num w:numId="14">
    <w:abstractNumId w:val="30"/>
  </w:num>
  <w:num w:numId="15">
    <w:abstractNumId w:val="24"/>
  </w:num>
  <w:num w:numId="16">
    <w:abstractNumId w:val="3"/>
  </w:num>
  <w:num w:numId="17">
    <w:abstractNumId w:val="13"/>
  </w:num>
  <w:num w:numId="18">
    <w:abstractNumId w:val="25"/>
  </w:num>
  <w:num w:numId="19">
    <w:abstractNumId w:val="27"/>
  </w:num>
  <w:num w:numId="20">
    <w:abstractNumId w:val="29"/>
  </w:num>
  <w:num w:numId="21">
    <w:abstractNumId w:val="14"/>
  </w:num>
  <w:num w:numId="22">
    <w:abstractNumId w:val="16"/>
  </w:num>
  <w:num w:numId="23">
    <w:abstractNumId w:val="4"/>
  </w:num>
  <w:num w:numId="24">
    <w:abstractNumId w:val="7"/>
  </w:num>
  <w:num w:numId="25">
    <w:abstractNumId w:val="12"/>
  </w:num>
  <w:num w:numId="26">
    <w:abstractNumId w:val="15"/>
  </w:num>
  <w:num w:numId="27">
    <w:abstractNumId w:val="26"/>
  </w:num>
  <w:num w:numId="28">
    <w:abstractNumId w:val="2"/>
  </w:num>
  <w:num w:numId="29">
    <w:abstractNumId w:val="17"/>
  </w:num>
  <w:num w:numId="30">
    <w:abstractNumId w:val="8"/>
  </w:num>
  <w:num w:numId="31">
    <w:abstractNumId w:val="6"/>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25" fillcolor="#186e3f" stroke="f">
      <v:fill color="#186e3f"/>
      <v:stroke on="f"/>
      <o:colormru v:ext="edit" colors="#186e3f,#060,#c00,#054c34"/>
      <o:colormenu v:ext="edit" fillcolor="#054c34" strokecolor="none"/>
    </o:shapedefaults>
  </w:hdrShapeDefaults>
  <w:footnotePr>
    <w:footnote w:id="-1"/>
    <w:footnote w:id="0"/>
  </w:footnotePr>
  <w:endnotePr>
    <w:endnote w:id="-1"/>
    <w:endnote w:id="0"/>
  </w:endnotePr>
  <w:compat/>
  <w:rsids>
    <w:rsidRoot w:val="006155E0"/>
    <w:rsid w:val="00005F65"/>
    <w:rsid w:val="00030B6D"/>
    <w:rsid w:val="0005602A"/>
    <w:rsid w:val="0006241F"/>
    <w:rsid w:val="000768A6"/>
    <w:rsid w:val="000A71CA"/>
    <w:rsid w:val="000C0196"/>
    <w:rsid w:val="000C2266"/>
    <w:rsid w:val="000E1268"/>
    <w:rsid w:val="000E1741"/>
    <w:rsid w:val="00101F99"/>
    <w:rsid w:val="00114EC4"/>
    <w:rsid w:val="00115E07"/>
    <w:rsid w:val="00135601"/>
    <w:rsid w:val="00145590"/>
    <w:rsid w:val="00161BFA"/>
    <w:rsid w:val="00167D47"/>
    <w:rsid w:val="00190BA9"/>
    <w:rsid w:val="00190DA8"/>
    <w:rsid w:val="001A13EF"/>
    <w:rsid w:val="001B7BF6"/>
    <w:rsid w:val="001D0879"/>
    <w:rsid w:val="001E5869"/>
    <w:rsid w:val="001F3E3E"/>
    <w:rsid w:val="001F726E"/>
    <w:rsid w:val="00202094"/>
    <w:rsid w:val="002024E1"/>
    <w:rsid w:val="002058E4"/>
    <w:rsid w:val="00217F98"/>
    <w:rsid w:val="00221375"/>
    <w:rsid w:val="00223697"/>
    <w:rsid w:val="002330C1"/>
    <w:rsid w:val="002748BB"/>
    <w:rsid w:val="00281A61"/>
    <w:rsid w:val="0028601C"/>
    <w:rsid w:val="0028671A"/>
    <w:rsid w:val="002B5A07"/>
    <w:rsid w:val="002B7203"/>
    <w:rsid w:val="002C1263"/>
    <w:rsid w:val="002C2902"/>
    <w:rsid w:val="002D37DA"/>
    <w:rsid w:val="002D4879"/>
    <w:rsid w:val="002E35A5"/>
    <w:rsid w:val="002F3053"/>
    <w:rsid w:val="00307F69"/>
    <w:rsid w:val="00327C84"/>
    <w:rsid w:val="00335CD8"/>
    <w:rsid w:val="003364D4"/>
    <w:rsid w:val="003436C0"/>
    <w:rsid w:val="00355C2A"/>
    <w:rsid w:val="00356FF4"/>
    <w:rsid w:val="003623ED"/>
    <w:rsid w:val="0039356E"/>
    <w:rsid w:val="003957DB"/>
    <w:rsid w:val="00395FE7"/>
    <w:rsid w:val="00396F94"/>
    <w:rsid w:val="003B0030"/>
    <w:rsid w:val="003E12EF"/>
    <w:rsid w:val="003E60C8"/>
    <w:rsid w:val="00407040"/>
    <w:rsid w:val="004113E3"/>
    <w:rsid w:val="00415DE0"/>
    <w:rsid w:val="0041625F"/>
    <w:rsid w:val="004372DF"/>
    <w:rsid w:val="0044367C"/>
    <w:rsid w:val="00467CE9"/>
    <w:rsid w:val="004725C4"/>
    <w:rsid w:val="00486188"/>
    <w:rsid w:val="0048763E"/>
    <w:rsid w:val="00495AD9"/>
    <w:rsid w:val="004A059A"/>
    <w:rsid w:val="004A62C8"/>
    <w:rsid w:val="004B20B4"/>
    <w:rsid w:val="004B6D61"/>
    <w:rsid w:val="004C5122"/>
    <w:rsid w:val="004D69CA"/>
    <w:rsid w:val="004E005C"/>
    <w:rsid w:val="004E39F0"/>
    <w:rsid w:val="004E457C"/>
    <w:rsid w:val="004F1D2C"/>
    <w:rsid w:val="005006F0"/>
    <w:rsid w:val="00501AC0"/>
    <w:rsid w:val="0050675C"/>
    <w:rsid w:val="00510CF4"/>
    <w:rsid w:val="00536C62"/>
    <w:rsid w:val="00570174"/>
    <w:rsid w:val="00587ABB"/>
    <w:rsid w:val="005A70CF"/>
    <w:rsid w:val="005B7515"/>
    <w:rsid w:val="005C056F"/>
    <w:rsid w:val="005C2980"/>
    <w:rsid w:val="005C75AE"/>
    <w:rsid w:val="005D23C6"/>
    <w:rsid w:val="005E63E3"/>
    <w:rsid w:val="00603121"/>
    <w:rsid w:val="00612065"/>
    <w:rsid w:val="00613185"/>
    <w:rsid w:val="006155E0"/>
    <w:rsid w:val="00631270"/>
    <w:rsid w:val="00645499"/>
    <w:rsid w:val="00663726"/>
    <w:rsid w:val="0066440A"/>
    <w:rsid w:val="006677C3"/>
    <w:rsid w:val="00676E42"/>
    <w:rsid w:val="006973C5"/>
    <w:rsid w:val="006B2FB3"/>
    <w:rsid w:val="006B4E23"/>
    <w:rsid w:val="006D6FA4"/>
    <w:rsid w:val="006E367D"/>
    <w:rsid w:val="006E4444"/>
    <w:rsid w:val="006E7178"/>
    <w:rsid w:val="006F5B6C"/>
    <w:rsid w:val="00722B04"/>
    <w:rsid w:val="00723D7A"/>
    <w:rsid w:val="00735D8B"/>
    <w:rsid w:val="00745FF6"/>
    <w:rsid w:val="00746D04"/>
    <w:rsid w:val="007532FF"/>
    <w:rsid w:val="00754ED1"/>
    <w:rsid w:val="00761286"/>
    <w:rsid w:val="00765964"/>
    <w:rsid w:val="00766799"/>
    <w:rsid w:val="007713F1"/>
    <w:rsid w:val="00784F62"/>
    <w:rsid w:val="00790073"/>
    <w:rsid w:val="007A192E"/>
    <w:rsid w:val="007A2918"/>
    <w:rsid w:val="007B0A9C"/>
    <w:rsid w:val="007B3A3B"/>
    <w:rsid w:val="007C4C6B"/>
    <w:rsid w:val="007E45E6"/>
    <w:rsid w:val="007F3C1D"/>
    <w:rsid w:val="007F3D02"/>
    <w:rsid w:val="00816941"/>
    <w:rsid w:val="00825C8C"/>
    <w:rsid w:val="00837BAE"/>
    <w:rsid w:val="0084463C"/>
    <w:rsid w:val="008517CB"/>
    <w:rsid w:val="00856AB5"/>
    <w:rsid w:val="00881C34"/>
    <w:rsid w:val="008A6535"/>
    <w:rsid w:val="008C1319"/>
    <w:rsid w:val="008D6EE0"/>
    <w:rsid w:val="008E145C"/>
    <w:rsid w:val="008F18C1"/>
    <w:rsid w:val="008F75DF"/>
    <w:rsid w:val="00900264"/>
    <w:rsid w:val="009015E2"/>
    <w:rsid w:val="009032C7"/>
    <w:rsid w:val="00910D38"/>
    <w:rsid w:val="00917B22"/>
    <w:rsid w:val="009352F7"/>
    <w:rsid w:val="0097355F"/>
    <w:rsid w:val="00992D6E"/>
    <w:rsid w:val="00993AB4"/>
    <w:rsid w:val="009945DE"/>
    <w:rsid w:val="00994667"/>
    <w:rsid w:val="009A2E1B"/>
    <w:rsid w:val="009B4FC7"/>
    <w:rsid w:val="009B65ED"/>
    <w:rsid w:val="009C3CEA"/>
    <w:rsid w:val="009E30F2"/>
    <w:rsid w:val="009E794C"/>
    <w:rsid w:val="00A01037"/>
    <w:rsid w:val="00A040F2"/>
    <w:rsid w:val="00A06A0E"/>
    <w:rsid w:val="00A15EBC"/>
    <w:rsid w:val="00A172E1"/>
    <w:rsid w:val="00A27D92"/>
    <w:rsid w:val="00A32BCF"/>
    <w:rsid w:val="00A33E0E"/>
    <w:rsid w:val="00A60B12"/>
    <w:rsid w:val="00A81FFD"/>
    <w:rsid w:val="00A84237"/>
    <w:rsid w:val="00AB4AAD"/>
    <w:rsid w:val="00AC73C1"/>
    <w:rsid w:val="00B01442"/>
    <w:rsid w:val="00B045BE"/>
    <w:rsid w:val="00B1464E"/>
    <w:rsid w:val="00B163E6"/>
    <w:rsid w:val="00B1758A"/>
    <w:rsid w:val="00B25B29"/>
    <w:rsid w:val="00B321F9"/>
    <w:rsid w:val="00B50733"/>
    <w:rsid w:val="00B657CF"/>
    <w:rsid w:val="00B65990"/>
    <w:rsid w:val="00B65E32"/>
    <w:rsid w:val="00B66D5E"/>
    <w:rsid w:val="00B67D99"/>
    <w:rsid w:val="00B874DB"/>
    <w:rsid w:val="00BA14B8"/>
    <w:rsid w:val="00BD569A"/>
    <w:rsid w:val="00C079FE"/>
    <w:rsid w:val="00C20BBC"/>
    <w:rsid w:val="00C370DD"/>
    <w:rsid w:val="00C532DF"/>
    <w:rsid w:val="00C65BC0"/>
    <w:rsid w:val="00C70D98"/>
    <w:rsid w:val="00C72E1B"/>
    <w:rsid w:val="00C75C69"/>
    <w:rsid w:val="00C77942"/>
    <w:rsid w:val="00C8330A"/>
    <w:rsid w:val="00C85367"/>
    <w:rsid w:val="00C97556"/>
    <w:rsid w:val="00CA10C3"/>
    <w:rsid w:val="00CB5AB1"/>
    <w:rsid w:val="00CD7DA3"/>
    <w:rsid w:val="00CE7AF6"/>
    <w:rsid w:val="00CF5348"/>
    <w:rsid w:val="00D11B03"/>
    <w:rsid w:val="00D2605C"/>
    <w:rsid w:val="00D30FA2"/>
    <w:rsid w:val="00D32AA4"/>
    <w:rsid w:val="00D332C6"/>
    <w:rsid w:val="00D34B6A"/>
    <w:rsid w:val="00D5063B"/>
    <w:rsid w:val="00D6520B"/>
    <w:rsid w:val="00D769E4"/>
    <w:rsid w:val="00D81A3A"/>
    <w:rsid w:val="00D953CB"/>
    <w:rsid w:val="00DA4BEE"/>
    <w:rsid w:val="00DB040A"/>
    <w:rsid w:val="00DD44BA"/>
    <w:rsid w:val="00DD5252"/>
    <w:rsid w:val="00DF1CDC"/>
    <w:rsid w:val="00DF1D63"/>
    <w:rsid w:val="00DF2BF5"/>
    <w:rsid w:val="00E014B0"/>
    <w:rsid w:val="00E21E9B"/>
    <w:rsid w:val="00E30702"/>
    <w:rsid w:val="00E338F0"/>
    <w:rsid w:val="00E33A3A"/>
    <w:rsid w:val="00E554ED"/>
    <w:rsid w:val="00E560ED"/>
    <w:rsid w:val="00E65EF8"/>
    <w:rsid w:val="00E86D02"/>
    <w:rsid w:val="00EB3460"/>
    <w:rsid w:val="00EB5061"/>
    <w:rsid w:val="00EC4D3B"/>
    <w:rsid w:val="00ED20B2"/>
    <w:rsid w:val="00EE5B7C"/>
    <w:rsid w:val="00EF61FE"/>
    <w:rsid w:val="00EF6476"/>
    <w:rsid w:val="00F06994"/>
    <w:rsid w:val="00F2125F"/>
    <w:rsid w:val="00F22F84"/>
    <w:rsid w:val="00F42E31"/>
    <w:rsid w:val="00F441FD"/>
    <w:rsid w:val="00F52669"/>
    <w:rsid w:val="00F5723F"/>
    <w:rsid w:val="00F60F24"/>
    <w:rsid w:val="00F73EC4"/>
    <w:rsid w:val="00F875EC"/>
    <w:rsid w:val="00FA154A"/>
    <w:rsid w:val="00FB61C2"/>
    <w:rsid w:val="00FC033F"/>
    <w:rsid w:val="00FD137D"/>
    <w:rsid w:val="00FF482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fillcolor="#186e3f" stroke="f">
      <v:fill color="#186e3f"/>
      <v:stroke on="f"/>
      <o:colormru v:ext="edit" colors="#186e3f,#060,#c00,#054c34"/>
      <o:colormenu v:ext="edit" fillcolor="#054c3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28671A"/>
    <w:pPr>
      <w:numPr>
        <w:numId w:val="3"/>
      </w:numPr>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paragraph" w:customStyle="1" w:styleId="FooterOdd">
    <w:name w:val="Footer Odd"/>
    <w:basedOn w:val="Footer"/>
    <w:rsid w:val="00115E07"/>
    <w:pPr>
      <w:tabs>
        <w:tab w:val="clear" w:pos="4513"/>
        <w:tab w:val="clear" w:pos="9026"/>
        <w:tab w:val="center" w:pos="4678"/>
        <w:tab w:val="right" w:pos="8306"/>
      </w:tabs>
      <w:overflowPunct w:val="0"/>
      <w:autoSpaceDE w:val="0"/>
      <w:autoSpaceDN w:val="0"/>
      <w:adjustRightInd w:val="0"/>
      <w:textAlignment w:val="baseline"/>
    </w:pPr>
    <w:rPr>
      <w:rFonts w:ascii="Trebuchet MS" w:eastAsia="Times New Roman" w:hAnsi="Trebuchet MS" w:cs="Times New Roman"/>
      <w:sz w:val="22"/>
      <w:szCs w:val="20"/>
    </w:rPr>
  </w:style>
  <w:style w:type="character" w:customStyle="1" w:styleId="body-c-c61">
    <w:name w:val="body-c-c61"/>
    <w:basedOn w:val="DefaultParagraphFont"/>
    <w:rsid w:val="00C370DD"/>
    <w:rPr>
      <w:rFonts w:ascii="Trebuchet MS" w:hAnsi="Trebuchet MS" w:hint="default"/>
      <w:sz w:val="16"/>
      <w:szCs w:val="16"/>
    </w:rPr>
  </w:style>
  <w:style w:type="paragraph" w:styleId="EndnoteText">
    <w:name w:val="endnote text"/>
    <w:basedOn w:val="Normal"/>
    <w:link w:val="EndnoteTextChar"/>
    <w:uiPriority w:val="99"/>
    <w:semiHidden/>
    <w:unhideWhenUsed/>
    <w:rsid w:val="00C370DD"/>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C370DD"/>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370DD"/>
    <w:rPr>
      <w:vertAlign w:val="superscript"/>
    </w:rPr>
  </w:style>
  <w:style w:type="character" w:customStyle="1" w:styleId="ListParagraphChar">
    <w:name w:val="List Paragraph Char"/>
    <w:basedOn w:val="DefaultParagraphFont"/>
    <w:link w:val="ListParagraph"/>
    <w:uiPriority w:val="99"/>
    <w:rsid w:val="00135601"/>
    <w:rPr>
      <w:rFonts w:ascii="Arial" w:hAnsi="Arial"/>
      <w:sz w:val="24"/>
    </w:rPr>
  </w:style>
  <w:style w:type="table" w:styleId="TableGrid">
    <w:name w:val="Table Grid"/>
    <w:basedOn w:val="TableNormal"/>
    <w:uiPriority w:val="59"/>
    <w:rsid w:val="00DF2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8E145C"/>
    <w:pPr>
      <w:overflowPunct w:val="0"/>
      <w:autoSpaceDE w:val="0"/>
      <w:autoSpaceDN w:val="0"/>
      <w:adjustRightInd w:val="0"/>
      <w:spacing w:before="20" w:after="40"/>
      <w:textAlignment w:val="baseline"/>
    </w:pPr>
    <w:rPr>
      <w:rFonts w:eastAsia="Times New Roman" w:cs="Times New Roman"/>
      <w:szCs w:val="20"/>
    </w:rPr>
  </w:style>
  <w:style w:type="paragraph" w:customStyle="1" w:styleId="TitleMain14pt0before">
    <w:name w:val="Title Main 14pt 0 before"/>
    <w:basedOn w:val="Normal"/>
    <w:rsid w:val="00DA4BEE"/>
    <w:pPr>
      <w:keepNext/>
      <w:overflowPunct w:val="0"/>
      <w:autoSpaceDE w:val="0"/>
      <w:autoSpaceDN w:val="0"/>
      <w:adjustRightInd w:val="0"/>
      <w:spacing w:before="60" w:after="120"/>
      <w:textAlignment w:val="baseline"/>
    </w:pPr>
    <w:rPr>
      <w:rFonts w:eastAsia="Times New Roman" w:cs="Times New Roman"/>
      <w:b/>
      <w:sz w:val="28"/>
      <w:szCs w:val="20"/>
    </w:rPr>
  </w:style>
  <w:style w:type="character" w:styleId="CommentReference">
    <w:name w:val="annotation reference"/>
    <w:basedOn w:val="DefaultParagraphFont"/>
    <w:semiHidden/>
    <w:rsid w:val="004725C4"/>
    <w:rPr>
      <w:sz w:val="16"/>
      <w:szCs w:val="16"/>
    </w:rPr>
  </w:style>
  <w:style w:type="paragraph" w:customStyle="1" w:styleId="Textnospace">
    <w:name w:val="Text no space"/>
    <w:basedOn w:val="Text"/>
    <w:rsid w:val="004725C4"/>
    <w:pPr>
      <w:spacing w:before="0"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rreysays.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hoolorg@surreycc.gov.uk" TargetMode="External"/><Relationship Id="rId17" Type="http://schemas.openxmlformats.org/officeDocument/2006/relationships/hyperlink" Target="mailto:schoolorg@surreycc.gov.uk" TargetMode="External"/><Relationship Id="rId2" Type="http://schemas.openxmlformats.org/officeDocument/2006/relationships/numbering" Target="numbering.xml"/><Relationship Id="rId16" Type="http://schemas.openxmlformats.org/officeDocument/2006/relationships/hyperlink" Target="http://www.st-marys-oxted.surrey.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mycouncil.surreycc.gov.uk/ieListMeetings.aspx?CId=182&amp;Year=0"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choolorg@surreycc.gov.uk"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0DAA9-C464-4B1C-80B8-57D2C61E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Oliver Gill</cp:lastModifiedBy>
  <cp:revision>20</cp:revision>
  <cp:lastPrinted>2015-11-04T10:56:00Z</cp:lastPrinted>
  <dcterms:created xsi:type="dcterms:W3CDTF">2016-12-12T16:02:00Z</dcterms:created>
  <dcterms:modified xsi:type="dcterms:W3CDTF">2017-01-17T17:43:00Z</dcterms:modified>
</cp:coreProperties>
</file>