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FB82" w14:textId="39E4EE5E" w:rsidR="00A040F2" w:rsidRDefault="00E85C63" w:rsidP="00A040F2">
      <w:r>
        <w:rPr>
          <w:noProof/>
          <w:lang w:eastAsia="en-GB"/>
        </w:rPr>
        <mc:AlternateContent>
          <mc:Choice Requires="wps">
            <w:drawing>
              <wp:anchor distT="0" distB="0" distL="114300" distR="114300" simplePos="0" relativeHeight="251657727" behindDoc="0" locked="0" layoutInCell="1" allowOverlap="1" wp14:anchorId="03A08A98" wp14:editId="233B3003">
                <wp:simplePos x="0" y="0"/>
                <wp:positionH relativeFrom="column">
                  <wp:posOffset>-470535</wp:posOffset>
                </wp:positionH>
                <wp:positionV relativeFrom="paragraph">
                  <wp:posOffset>-369570</wp:posOffset>
                </wp:positionV>
                <wp:extent cx="8075930" cy="10770235"/>
                <wp:effectExtent l="0" t="0" r="0" b="0"/>
                <wp:wrapNone/>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7F81" id="Freeform 4" o:spid="_x0000_s1026" alt="&quot;&quot;" style="position:absolute;margin-left:-37.05pt;margin-top:-29.1pt;width:635.9pt;height:848.0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" path="m224,1123v572,,572,,572,c796,91,796,91,796,91v-48,8,-98,16,-156,33c552,150,396,218,441,364v50,162,301,15,337,158c842,779,339,686,247,932v-23,62,-30,127,-23,191m227,c143,,143,,143,,84,108,38,214,2,314v,809,,809,,809c53,1123,53,1123,53,1123,,781,52,407,227,e" fillcolor="#1f497d [3215]"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v:shape>
            </w:pict>
          </mc:Fallback>
        </mc:AlternateContent>
      </w:r>
    </w:p>
    <w:p w14:paraId="63A577C7" w14:textId="6B545F84" w:rsidR="00A040F2" w:rsidRDefault="00A040F2" w:rsidP="0028671A"/>
    <w:p w14:paraId="5DF0E70E" w14:textId="561F3F36" w:rsidR="00A60B12" w:rsidRDefault="00CF516F" w:rsidP="0028671A">
      <w:pPr>
        <w:sectPr w:rsidR="00A60B12" w:rsidSect="0028671A">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709" w:header="284" w:footer="708" w:gutter="0"/>
          <w:cols w:space="708"/>
          <w:docGrid w:linePitch="360"/>
        </w:sectPr>
      </w:pPr>
      <w:r>
        <w:rPr>
          <w:noProof/>
          <w:lang w:eastAsia="en-GB"/>
        </w:rPr>
        <mc:AlternateContent>
          <mc:Choice Requires="wps">
            <w:drawing>
              <wp:anchor distT="0" distB="0" distL="114300" distR="114300" simplePos="0" relativeHeight="251660800" behindDoc="0" locked="0" layoutInCell="1" allowOverlap="1" wp14:anchorId="155D54C9" wp14:editId="061436A4">
                <wp:simplePos x="0" y="0"/>
                <wp:positionH relativeFrom="column">
                  <wp:posOffset>254635</wp:posOffset>
                </wp:positionH>
                <wp:positionV relativeFrom="paragraph">
                  <wp:posOffset>3536950</wp:posOffset>
                </wp:positionV>
                <wp:extent cx="6657975" cy="3143250"/>
                <wp:effectExtent l="0" t="0" r="0" b="0"/>
                <wp:wrapNone/>
                <wp:docPr id="1" name="Text Box 2" descr="Proposed New ASD Designated Special Free School for Surrey. New School Specific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5FD1" w14:textId="653C5391" w:rsidR="0060254E" w:rsidRPr="00106F5B" w:rsidRDefault="0060254E" w:rsidP="0060254E">
                            <w:pPr>
                              <w:rPr>
                                <w:rFonts w:eastAsiaTheme="majorEastAsia" w:cstheme="majorBidi"/>
                                <w:bCs/>
                                <w:color w:val="1F497D" w:themeColor="text2"/>
                                <w:sz w:val="80"/>
                                <w:szCs w:val="80"/>
                              </w:rPr>
                            </w:pPr>
                            <w:r w:rsidRPr="00106F5B">
                              <w:rPr>
                                <w:rFonts w:eastAsiaTheme="majorEastAsia" w:cstheme="majorBidi"/>
                                <w:bCs/>
                                <w:color w:val="1F497D" w:themeColor="text2"/>
                                <w:sz w:val="80"/>
                                <w:szCs w:val="80"/>
                              </w:rPr>
                              <w:t>Proposed New</w:t>
                            </w:r>
                            <w:r w:rsidR="00A35EE3">
                              <w:rPr>
                                <w:rFonts w:eastAsiaTheme="majorEastAsia" w:cstheme="majorBidi"/>
                                <w:bCs/>
                                <w:color w:val="1F497D" w:themeColor="text2"/>
                                <w:sz w:val="80"/>
                                <w:szCs w:val="80"/>
                              </w:rPr>
                              <w:t xml:space="preserve"> ASD Designated</w:t>
                            </w:r>
                            <w:r w:rsidRPr="00106F5B">
                              <w:rPr>
                                <w:rFonts w:eastAsiaTheme="majorEastAsia" w:cstheme="majorBidi"/>
                                <w:bCs/>
                                <w:color w:val="1F497D" w:themeColor="text2"/>
                                <w:sz w:val="80"/>
                                <w:szCs w:val="80"/>
                              </w:rPr>
                              <w:t xml:space="preserve"> Special </w:t>
                            </w:r>
                            <w:r w:rsidR="00A35EE3">
                              <w:rPr>
                                <w:rFonts w:eastAsiaTheme="majorEastAsia" w:cstheme="majorBidi"/>
                                <w:bCs/>
                                <w:color w:val="1F497D" w:themeColor="text2"/>
                                <w:sz w:val="80"/>
                                <w:szCs w:val="80"/>
                              </w:rPr>
                              <w:t xml:space="preserve">Free </w:t>
                            </w:r>
                            <w:r w:rsidRPr="00106F5B">
                              <w:rPr>
                                <w:rFonts w:eastAsiaTheme="majorEastAsia" w:cstheme="majorBidi"/>
                                <w:bCs/>
                                <w:color w:val="1F497D" w:themeColor="text2"/>
                                <w:sz w:val="80"/>
                                <w:szCs w:val="80"/>
                              </w:rPr>
                              <w:t xml:space="preserve">School for Surrey </w:t>
                            </w:r>
                          </w:p>
                          <w:p w14:paraId="3FCCD081" w14:textId="5F80A751" w:rsidR="00355C2A" w:rsidRPr="0060254E" w:rsidRDefault="006C3CCA" w:rsidP="00355C2A">
                            <w:pPr>
                              <w:rPr>
                                <w:rFonts w:cs="Arial"/>
                                <w:color w:val="1F497D" w:themeColor="text2"/>
                              </w:rPr>
                            </w:pPr>
                            <w:r>
                              <w:rPr>
                                <w:rFonts w:cs="Arial"/>
                                <w:b/>
                                <w:color w:val="1F497D" w:themeColor="text2"/>
                                <w:sz w:val="48"/>
                                <w:szCs w:val="48"/>
                              </w:rPr>
                              <w:t xml:space="preserve">New School </w:t>
                            </w:r>
                            <w:r w:rsidR="0060254E" w:rsidRPr="0060254E">
                              <w:rPr>
                                <w:rFonts w:cs="Arial"/>
                                <w:b/>
                                <w:color w:val="1F497D" w:themeColor="text2"/>
                                <w:sz w:val="48"/>
                                <w:szCs w:val="48"/>
                              </w:rPr>
                              <w:t>Specification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D54C9" id="_x0000_t202" coordsize="21600,21600" o:spt="202" path="m,l,21600r21600,l21600,xe">
                <v:stroke joinstyle="miter"/>
                <v:path gradientshapeok="t" o:connecttype="rect"/>
              </v:shapetype>
              <v:shape id="Text Box 2" o:spid="_x0000_s1026" type="#_x0000_t202" alt="Proposed New ASD Designated Special Free School for Surrey. New School Specification.&#10;" style="position:absolute;margin-left:20.05pt;margin-top:278.5pt;width:524.2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" filled="f" stroked="f">
                <v:textbox>
                  <w:txbxContent>
                    <w:p w14:paraId="2CA95FD1" w14:textId="653C5391" w:rsidR="0060254E" w:rsidRPr="00106F5B" w:rsidRDefault="0060254E" w:rsidP="0060254E">
                      <w:pPr>
                        <w:rPr>
                          <w:rFonts w:eastAsiaTheme="majorEastAsia" w:cstheme="majorBidi"/>
                          <w:bCs/>
                          <w:color w:val="1F497D" w:themeColor="text2"/>
                          <w:sz w:val="80"/>
                          <w:szCs w:val="80"/>
                        </w:rPr>
                      </w:pPr>
                      <w:r w:rsidRPr="00106F5B">
                        <w:rPr>
                          <w:rFonts w:eastAsiaTheme="majorEastAsia" w:cstheme="majorBidi"/>
                          <w:bCs/>
                          <w:color w:val="1F497D" w:themeColor="text2"/>
                          <w:sz w:val="80"/>
                          <w:szCs w:val="80"/>
                        </w:rPr>
                        <w:t>Proposed New</w:t>
                      </w:r>
                      <w:r w:rsidR="00A35EE3">
                        <w:rPr>
                          <w:rFonts w:eastAsiaTheme="majorEastAsia" w:cstheme="majorBidi"/>
                          <w:bCs/>
                          <w:color w:val="1F497D" w:themeColor="text2"/>
                          <w:sz w:val="80"/>
                          <w:szCs w:val="80"/>
                        </w:rPr>
                        <w:t xml:space="preserve"> ASD Designated</w:t>
                      </w:r>
                      <w:r w:rsidRPr="00106F5B">
                        <w:rPr>
                          <w:rFonts w:eastAsiaTheme="majorEastAsia" w:cstheme="majorBidi"/>
                          <w:bCs/>
                          <w:color w:val="1F497D" w:themeColor="text2"/>
                          <w:sz w:val="80"/>
                          <w:szCs w:val="80"/>
                        </w:rPr>
                        <w:t xml:space="preserve"> Special </w:t>
                      </w:r>
                      <w:r w:rsidR="00A35EE3">
                        <w:rPr>
                          <w:rFonts w:eastAsiaTheme="majorEastAsia" w:cstheme="majorBidi"/>
                          <w:bCs/>
                          <w:color w:val="1F497D" w:themeColor="text2"/>
                          <w:sz w:val="80"/>
                          <w:szCs w:val="80"/>
                        </w:rPr>
                        <w:t xml:space="preserve">Free </w:t>
                      </w:r>
                      <w:r w:rsidRPr="00106F5B">
                        <w:rPr>
                          <w:rFonts w:eastAsiaTheme="majorEastAsia" w:cstheme="majorBidi"/>
                          <w:bCs/>
                          <w:color w:val="1F497D" w:themeColor="text2"/>
                          <w:sz w:val="80"/>
                          <w:szCs w:val="80"/>
                        </w:rPr>
                        <w:t xml:space="preserve">School for Surrey </w:t>
                      </w:r>
                    </w:p>
                    <w:p w14:paraId="3FCCD081" w14:textId="5F80A751" w:rsidR="00355C2A" w:rsidRPr="0060254E" w:rsidRDefault="006C3CCA" w:rsidP="00355C2A">
                      <w:pPr>
                        <w:rPr>
                          <w:rFonts w:cs="Arial"/>
                          <w:color w:val="1F497D" w:themeColor="text2"/>
                        </w:rPr>
                      </w:pPr>
                      <w:r>
                        <w:rPr>
                          <w:rFonts w:cs="Arial"/>
                          <w:b/>
                          <w:color w:val="1F497D" w:themeColor="text2"/>
                          <w:sz w:val="48"/>
                          <w:szCs w:val="48"/>
                        </w:rPr>
                        <w:t xml:space="preserve">New School </w:t>
                      </w:r>
                      <w:r w:rsidR="0060254E" w:rsidRPr="0060254E">
                        <w:rPr>
                          <w:rFonts w:cs="Arial"/>
                          <w:b/>
                          <w:color w:val="1F497D" w:themeColor="text2"/>
                          <w:sz w:val="48"/>
                          <w:szCs w:val="48"/>
                        </w:rPr>
                        <w:t>Specification</w:t>
                      </w:r>
                    </w:p>
                  </w:txbxContent>
                </v:textbox>
              </v:shape>
            </w:pict>
          </mc:Fallback>
        </mc:AlternateContent>
      </w:r>
      <w:r w:rsidR="00041B45">
        <w:rPr>
          <w:noProof/>
          <w:lang w:eastAsia="en-GB"/>
        </w:rPr>
        <w:drawing>
          <wp:anchor distT="0" distB="0" distL="114300" distR="114300" simplePos="0" relativeHeight="251665920" behindDoc="0" locked="0" layoutInCell="1" allowOverlap="1" wp14:anchorId="2C4CFB67" wp14:editId="6EB7FB93">
            <wp:simplePos x="0" y="0"/>
            <wp:positionH relativeFrom="column">
              <wp:posOffset>5558790</wp:posOffset>
            </wp:positionH>
            <wp:positionV relativeFrom="paragraph">
              <wp:posOffset>8588480</wp:posOffset>
            </wp:positionV>
            <wp:extent cx="1201058" cy="1082172"/>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p>
    <w:p w14:paraId="2ED11B8A" w14:textId="20B39548" w:rsidR="00211750" w:rsidRPr="00211750" w:rsidRDefault="0060254E" w:rsidP="0060254E">
      <w:pPr>
        <w:pStyle w:val="Heading2"/>
      </w:pPr>
      <w:r w:rsidRPr="0060254E">
        <w:lastRenderedPageBreak/>
        <w:t>Section A - Introduction</w:t>
      </w:r>
    </w:p>
    <w:p w14:paraId="4255E55B" w14:textId="64D4C8BD" w:rsidR="0060254E" w:rsidRDefault="0060254E" w:rsidP="0060254E">
      <w:r>
        <w:t>Under section 6A of the Education and Inspections Act 2006 (the ‘</w:t>
      </w:r>
      <w:r w:rsidR="003E6708">
        <w:t>F</w:t>
      </w:r>
      <w:r>
        <w:t xml:space="preserve">ree </w:t>
      </w:r>
      <w:r w:rsidR="003E6708">
        <w:t>S</w:t>
      </w:r>
      <w:r>
        <w:t xml:space="preserve">chool presumption’) where a local authority identifies the need to establish a new school it must, in the first instance, seek proposals to establish an academy. </w:t>
      </w:r>
      <w:r w:rsidR="00B83A8A">
        <w:t>Surrey County Council</w:t>
      </w:r>
      <w:r>
        <w:t xml:space="preserve"> </w:t>
      </w:r>
      <w:r w:rsidR="003E6708">
        <w:t xml:space="preserve">(SCC) </w:t>
      </w:r>
      <w:r>
        <w:t>has identified the need to establish a new</w:t>
      </w:r>
      <w:r w:rsidR="000E46B8">
        <w:t xml:space="preserve"> ASD designated</w:t>
      </w:r>
      <w:r>
        <w:t xml:space="preserve"> </w:t>
      </w:r>
      <w:r w:rsidR="00B83A8A">
        <w:t xml:space="preserve">Special School for </w:t>
      </w:r>
      <w:r w:rsidR="000E46B8">
        <w:t xml:space="preserve">autistic </w:t>
      </w:r>
      <w:r w:rsidR="00B83A8A">
        <w:t xml:space="preserve">pupils </w:t>
      </w:r>
      <w:r w:rsidR="000E46B8">
        <w:t xml:space="preserve">and those with </w:t>
      </w:r>
      <w:r w:rsidR="00D63B85">
        <w:t xml:space="preserve">Communication &amp; Interaction needs </w:t>
      </w:r>
      <w:r>
        <w:t xml:space="preserve">in </w:t>
      </w:r>
      <w:r w:rsidR="009333E5">
        <w:t>North East</w:t>
      </w:r>
      <w:r w:rsidR="00B83A8A">
        <w:t xml:space="preserve"> Surrey</w:t>
      </w:r>
      <w:r w:rsidR="000E46B8">
        <w:t>,</w:t>
      </w:r>
      <w:r>
        <w:t xml:space="preserve"> to open in </w:t>
      </w:r>
      <w:r w:rsidR="00B83A8A">
        <w:t>September 2024.</w:t>
      </w:r>
      <w:r>
        <w:t xml:space="preserve"> </w:t>
      </w:r>
    </w:p>
    <w:p w14:paraId="20EF8403" w14:textId="0A12BCB6" w:rsidR="0060254E" w:rsidRDefault="0060254E" w:rsidP="0060254E"/>
    <w:p w14:paraId="1D5DFC58" w14:textId="1E6DB075" w:rsidR="005170D5" w:rsidRDefault="005170D5" w:rsidP="00B83A8A">
      <w:r w:rsidRPr="00A35EE3">
        <w:t xml:space="preserve">Between 2019 and 2021 Surrey’s Cabinet approved the strategy for three phases of the SEND Capital Programme with a combined capital investment of £79.6m to expand the local specialist estate at pace to ensure local children and young people can have their educational needs met close to home and within </w:t>
      </w:r>
      <w:r w:rsidR="003E6708" w:rsidRPr="00A35EE3">
        <w:t>state-maintained</w:t>
      </w:r>
      <w:r w:rsidRPr="00A35EE3">
        <w:t xml:space="preserve"> provision wherever possible. This investment is already delivering 1,600 additional specialist school places towards the projected demand of 5,100 by 2025. More than 500 of these were delivered between 2019-2021.</w:t>
      </w:r>
      <w:r>
        <w:t xml:space="preserve"> </w:t>
      </w:r>
    </w:p>
    <w:p w14:paraId="4504EC6F" w14:textId="77777777" w:rsidR="005170D5" w:rsidRDefault="005170D5" w:rsidP="00B83A8A"/>
    <w:p w14:paraId="49BE9A3F" w14:textId="02D8B7EB" w:rsidR="008740E5" w:rsidRPr="00295103" w:rsidRDefault="005170D5" w:rsidP="008740E5">
      <w:pPr>
        <w:rPr>
          <w:rFonts w:cs="Arial"/>
          <w:noProof/>
        </w:rPr>
      </w:pPr>
      <w:r w:rsidRPr="005170D5">
        <w:t>By 2030-2031, the local area’s Specialist Education Estate is projected to require more than 800 additional places on top of the planned growth delivered by the first three phases of the SEND Capital Programme. The significant increase in demand requires in-county provision of up to 6,000 maintained specialist school places for Surrey pupils aged 4-19 years by September 2030.</w:t>
      </w:r>
      <w:r w:rsidR="008740E5">
        <w:t xml:space="preserve"> To that end, </w:t>
      </w:r>
      <w:r w:rsidR="008740E5">
        <w:rPr>
          <w:rFonts w:cs="Arial"/>
          <w:noProof/>
        </w:rPr>
        <w:t xml:space="preserve">Cabinet approved an additonal £60m capital investment for the SEND Capital Programme as of 25 January 2022, which brings the programme total to £139.6m. This investment will create up to 700 more additional specialist school places in Surrey towards the projected demand of up to 6,000 by 2030-2031. The significant increase to Surrey’s specialist education estate further reduces the Council’s reliance on the independent sector, and most importantly means that local children and young people with SEND can attend their nearerst most appropriate maintained school. </w:t>
      </w:r>
    </w:p>
    <w:p w14:paraId="0C6074F6" w14:textId="30303C6D" w:rsidR="005170D5" w:rsidRDefault="005170D5" w:rsidP="00B83A8A"/>
    <w:p w14:paraId="093E2D60" w14:textId="1496F25E" w:rsidR="005170D5" w:rsidRDefault="005170D5" w:rsidP="00B83A8A">
      <w:r>
        <w:t>In</w:t>
      </w:r>
      <w:r w:rsidR="00B83A8A">
        <w:t xml:space="preserve"> 2019, Surrey’s Cabinet approved a </w:t>
      </w:r>
      <w:r w:rsidR="003E6708">
        <w:t>ten-</w:t>
      </w:r>
      <w:r w:rsidR="00B83A8A">
        <w:t>year Strategy for Specialist Placements</w:t>
      </w:r>
      <w:r>
        <w:t>.</w:t>
      </w:r>
      <w:r w:rsidR="00B83A8A">
        <w:t xml:space="preserve"> This included </w:t>
      </w:r>
      <w:r w:rsidR="003E6708">
        <w:t>three</w:t>
      </w:r>
      <w:r>
        <w:t xml:space="preserve"> new Special Free Schools, following </w:t>
      </w:r>
      <w:r w:rsidR="000E46B8">
        <w:t>the Local Authority’s</w:t>
      </w:r>
      <w:r>
        <w:t xml:space="preserve"> successful bid to the </w:t>
      </w:r>
      <w:r w:rsidR="003E6708" w:rsidRPr="00B83A8A">
        <w:t>Department for Education (DfE)</w:t>
      </w:r>
      <w:r>
        <w:t xml:space="preserve">’s Free School </w:t>
      </w:r>
      <w:r w:rsidR="008740E5">
        <w:t>P</w:t>
      </w:r>
      <w:r>
        <w:t>rogramme in 2018. The DfE is delivering two of these new Special Schools; Fox Grove School, which opened</w:t>
      </w:r>
      <w:r w:rsidR="008740E5">
        <w:t xml:space="preserve"> in SCC-provided temporary accommodation in September 2021</w:t>
      </w:r>
      <w:r w:rsidR="009333E5">
        <w:t>,</w:t>
      </w:r>
      <w:r w:rsidR="008740E5">
        <w:t xml:space="preserve"> before being decanted by the DfE to its permanent site</w:t>
      </w:r>
      <w:r>
        <w:t xml:space="preserve"> in December 2021 and Betchwood Vale Academy, which is due to be delivered in September 2024. The third Special Free School will be funded and delivered by SCC. This will provide up to 200 specialist school places and is due to be delivered </w:t>
      </w:r>
      <w:r w:rsidR="008740E5">
        <w:t>by</w:t>
      </w:r>
      <w:r>
        <w:t xml:space="preserve"> September 2024.</w:t>
      </w:r>
    </w:p>
    <w:p w14:paraId="32CCFD90" w14:textId="77777777" w:rsidR="005170D5" w:rsidRDefault="005170D5" w:rsidP="00B83A8A"/>
    <w:p w14:paraId="1BF9F753" w14:textId="17C202DB" w:rsidR="00D63B85" w:rsidRDefault="00B83A8A" w:rsidP="00B83A8A">
      <w:r w:rsidRPr="00B83A8A">
        <w:t xml:space="preserve">The </w:t>
      </w:r>
      <w:r w:rsidR="005170D5">
        <w:t>purpose of the new Special Free School</w:t>
      </w:r>
      <w:r w:rsidRPr="00B83A8A">
        <w:t xml:space="preserve"> is to </w:t>
      </w:r>
      <w:r w:rsidR="005170D5">
        <w:t>meet</w:t>
      </w:r>
      <w:r w:rsidRPr="00B83A8A">
        <w:t xml:space="preserve"> </w:t>
      </w:r>
      <w:r w:rsidR="005170D5">
        <w:t xml:space="preserve">long-term </w:t>
      </w:r>
      <w:r w:rsidRPr="00B83A8A">
        <w:t xml:space="preserve">demographic </w:t>
      </w:r>
      <w:r w:rsidR="005170D5">
        <w:t>demand</w:t>
      </w:r>
      <w:r w:rsidRPr="00B83A8A">
        <w:t xml:space="preserve"> for Special School Places, specifically for </w:t>
      </w:r>
      <w:r w:rsidR="008740E5">
        <w:t xml:space="preserve">autistic </w:t>
      </w:r>
      <w:r w:rsidR="005170D5">
        <w:t>pupils and</w:t>
      </w:r>
      <w:r w:rsidR="008740E5">
        <w:t xml:space="preserve"> those</w:t>
      </w:r>
      <w:r w:rsidR="005170D5">
        <w:t xml:space="preserve"> Communication &amp; Interaction needs</w:t>
      </w:r>
      <w:r w:rsidRPr="00B83A8A">
        <w:t xml:space="preserve">. The development of the proposed school is consequently part of a suite of proposals being developed by Surrey County Council in conjunction with the </w:t>
      </w:r>
      <w:r w:rsidR="003E6708">
        <w:t>DfE</w:t>
      </w:r>
      <w:r w:rsidRPr="00B83A8A">
        <w:t xml:space="preserve">’s Free Schools programme to deliver a step change in the number of places for </w:t>
      </w:r>
      <w:r w:rsidR="000E46B8">
        <w:t>pupils</w:t>
      </w:r>
      <w:r w:rsidRPr="00B83A8A">
        <w:t xml:space="preserve"> who have complex SEND in local Special Schools.</w:t>
      </w:r>
    </w:p>
    <w:p w14:paraId="57E734AF" w14:textId="2F9448C8" w:rsidR="00B83A8A" w:rsidRDefault="00B83A8A" w:rsidP="00B83A8A"/>
    <w:p w14:paraId="20023E21" w14:textId="77777777" w:rsidR="00D144EC" w:rsidRPr="00D144EC" w:rsidRDefault="00D144EC" w:rsidP="00D144EC">
      <w:pPr>
        <w:rPr>
          <w:b/>
          <w:bCs/>
        </w:rPr>
      </w:pPr>
      <w:r w:rsidRPr="00D144EC">
        <w:rPr>
          <w:b/>
          <w:bCs/>
        </w:rPr>
        <w:t>Needs Analysis</w:t>
      </w:r>
    </w:p>
    <w:p w14:paraId="4A8D0B95" w14:textId="77777777" w:rsidR="00D144EC" w:rsidRDefault="00D144EC" w:rsidP="00B83A8A"/>
    <w:p w14:paraId="5B0F286B" w14:textId="77777777" w:rsidR="002919AF" w:rsidRDefault="002919AF" w:rsidP="00B83A8A">
      <w:r>
        <w:t xml:space="preserve">Surrey’s population is projected to be 1.23 million so, our best approximation of our autistic population is 12,300 people, made up of: </w:t>
      </w:r>
    </w:p>
    <w:p w14:paraId="46DFAB6F" w14:textId="77777777" w:rsidR="002919AF" w:rsidRDefault="002919AF" w:rsidP="00B83A8A"/>
    <w:p w14:paraId="316F2789" w14:textId="04176DC8" w:rsidR="002919AF" w:rsidRDefault="002919AF" w:rsidP="00D312D2">
      <w:pPr>
        <w:pStyle w:val="ListParagraph"/>
        <w:numPr>
          <w:ilvl w:val="0"/>
          <w:numId w:val="18"/>
        </w:numPr>
      </w:pPr>
      <w:r>
        <w:t xml:space="preserve">3,200 children aged 17 and under </w:t>
      </w:r>
    </w:p>
    <w:p w14:paraId="5FE9BA50" w14:textId="23E99BAC" w:rsidR="002919AF" w:rsidRDefault="002919AF" w:rsidP="00D312D2">
      <w:pPr>
        <w:pStyle w:val="ListParagraph"/>
        <w:numPr>
          <w:ilvl w:val="0"/>
          <w:numId w:val="18"/>
        </w:numPr>
      </w:pPr>
      <w:r>
        <w:t xml:space="preserve">900 young people aged 18-24 </w:t>
      </w:r>
    </w:p>
    <w:p w14:paraId="48BF55B5" w14:textId="00009441" w:rsidR="002919AF" w:rsidRDefault="002919AF" w:rsidP="00D312D2">
      <w:pPr>
        <w:pStyle w:val="ListParagraph"/>
        <w:numPr>
          <w:ilvl w:val="0"/>
          <w:numId w:val="18"/>
        </w:numPr>
      </w:pPr>
      <w:r>
        <w:t xml:space="preserve">8,200 people aged 25 and over </w:t>
      </w:r>
    </w:p>
    <w:p w14:paraId="31B3D53D" w14:textId="77777777" w:rsidR="002919AF" w:rsidRDefault="002919AF" w:rsidP="00B83A8A"/>
    <w:p w14:paraId="1339E5C2" w14:textId="0C3A730F" w:rsidR="002919AF" w:rsidRDefault="002919AF" w:rsidP="00B83A8A">
      <w:r>
        <w:t xml:space="preserve">Currently autism is thought to be three times more common in males than females. This ratio may change as understanding of the way autism presents in women and girls improves. Research has </w:t>
      </w:r>
      <w:r>
        <w:lastRenderedPageBreak/>
        <w:t>suggested that autism may be under-diagnosed in females, gender-fluid and non-binary people (UK Parliament Postnote #612, January 2020).</w:t>
      </w:r>
    </w:p>
    <w:p w14:paraId="395CAB9D" w14:textId="33308379" w:rsidR="002919AF" w:rsidRDefault="002919AF" w:rsidP="00B83A8A"/>
    <w:p w14:paraId="67307FD6" w14:textId="3DF5C4B5" w:rsidR="002919AF" w:rsidRDefault="002919AF" w:rsidP="00D312D2">
      <w:pPr>
        <w:jc w:val="center"/>
      </w:pPr>
      <w:r>
        <w:rPr>
          <w:noProof/>
        </w:rPr>
        <w:drawing>
          <wp:inline distT="0" distB="0" distL="0" distR="0" wp14:anchorId="1888364A" wp14:editId="51381566">
            <wp:extent cx="5486400" cy="3200400"/>
            <wp:effectExtent l="0" t="0" r="0" b="0"/>
            <wp:docPr id="5" name="Chart 5" descr="Chart shows breakdown of Autism EHCPs by gender. 19 percent are female and 81 percent ma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6C6871" w14:textId="77777777" w:rsidR="002919AF" w:rsidRDefault="002919AF" w:rsidP="00B83A8A"/>
    <w:p w14:paraId="2D15CC30" w14:textId="239BBCC5" w:rsidR="00B83A8A" w:rsidRDefault="00B83A8A" w:rsidP="00B83A8A">
      <w:r>
        <w:t xml:space="preserve">Surrey currently has over </w:t>
      </w:r>
      <w:r w:rsidR="00194852">
        <w:t>5</w:t>
      </w:r>
      <w:r>
        <w:t>,</w:t>
      </w:r>
      <w:r w:rsidR="00194852">
        <w:t>0</w:t>
      </w:r>
      <w:r>
        <w:t xml:space="preserve">00 EHCPs for </w:t>
      </w:r>
      <w:r w:rsidR="008740E5">
        <w:t xml:space="preserve">autistic </w:t>
      </w:r>
      <w:r w:rsidR="00194852" w:rsidRPr="00194852">
        <w:t>pupils</w:t>
      </w:r>
      <w:r w:rsidRPr="00194852">
        <w:t xml:space="preserve"> </w:t>
      </w:r>
      <w:r w:rsidR="008740E5">
        <w:t xml:space="preserve">and those who </w:t>
      </w:r>
      <w:r w:rsidRPr="00194852">
        <w:t xml:space="preserve">have </w:t>
      </w:r>
      <w:r w:rsidR="00194852">
        <w:t xml:space="preserve">Communication &amp; Interaction needs </w:t>
      </w:r>
      <w:r>
        <w:t xml:space="preserve">identified as their primary need. </w:t>
      </w:r>
      <w:r w:rsidRPr="00194852">
        <w:t xml:space="preserve">Approximately </w:t>
      </w:r>
      <w:r w:rsidR="00194852" w:rsidRPr="00194852">
        <w:t>50</w:t>
      </w:r>
      <w:r w:rsidRPr="00194852">
        <w:t>% of these pupils attend specialist provision</w:t>
      </w:r>
      <w:r w:rsidR="008740E5">
        <w:t>.</w:t>
      </w:r>
      <w:r w:rsidR="00194852">
        <w:t xml:space="preserve"> 14% are educated </w:t>
      </w:r>
      <w:r w:rsidR="0028583C">
        <w:t>at non-maintained or independent provision</w:t>
      </w:r>
      <w:r w:rsidR="00D312D2">
        <w:t xml:space="preserve"> (NMI)</w:t>
      </w:r>
      <w:r w:rsidR="0028583C">
        <w:t xml:space="preserve"> and 8% have a specialist school places outside of Surrey’s borders</w:t>
      </w:r>
      <w:r>
        <w:t>.</w:t>
      </w:r>
      <w:r w:rsidR="006C3CCA">
        <w:t xml:space="preserve"> </w:t>
      </w:r>
      <w:r w:rsidR="003B48AC">
        <w:t xml:space="preserve">Autism and Communication &amp; Interaction </w:t>
      </w:r>
      <w:r w:rsidR="003B48AC" w:rsidRPr="003B48AC">
        <w:t xml:space="preserve">needs </w:t>
      </w:r>
      <w:r w:rsidRPr="003B48AC">
        <w:t>has continued to be the most prevalent need in Surrey since 2015</w:t>
      </w:r>
      <w:r w:rsidR="003B48AC">
        <w:t xml:space="preserve"> and </w:t>
      </w:r>
      <w:r w:rsidR="008740E5">
        <w:t xml:space="preserve">the number of pupils </w:t>
      </w:r>
      <w:r w:rsidR="00EC1B8F">
        <w:t>aged</w:t>
      </w:r>
      <w:r w:rsidR="008740E5">
        <w:t xml:space="preserve"> 4-19 years</w:t>
      </w:r>
      <w:r w:rsidR="003B48AC">
        <w:t xml:space="preserve"> ha</w:t>
      </w:r>
      <w:r w:rsidR="00EC1B8F">
        <w:t>s</w:t>
      </w:r>
      <w:r w:rsidR="003B48AC">
        <w:t xml:space="preserve"> grown by 884</w:t>
      </w:r>
      <w:r w:rsidR="008740E5">
        <w:t xml:space="preserve"> </w:t>
      </w:r>
      <w:r w:rsidR="00802F99">
        <w:t>(</w:t>
      </w:r>
      <w:r w:rsidR="0011275B">
        <w:t>21%</w:t>
      </w:r>
      <w:r w:rsidR="00802F99">
        <w:t xml:space="preserve">) </w:t>
      </w:r>
      <w:r w:rsidR="003B48AC">
        <w:t xml:space="preserve">over the past three years: the need type with the next highest amount of growth </w:t>
      </w:r>
      <w:r w:rsidR="00FC0AF8">
        <w:t xml:space="preserve">in terms of total numbers </w:t>
      </w:r>
      <w:r w:rsidR="003B48AC">
        <w:t xml:space="preserve">is </w:t>
      </w:r>
      <w:r w:rsidRPr="003B48AC">
        <w:t xml:space="preserve">Social Emotional and Mental Health needs (SEMH), which </w:t>
      </w:r>
      <w:r w:rsidR="003B48AC" w:rsidRPr="003B48AC">
        <w:t>has seen</w:t>
      </w:r>
      <w:r w:rsidR="003B48AC">
        <w:t xml:space="preserve"> growth of </w:t>
      </w:r>
      <w:r w:rsidR="00EC1B8F">
        <w:t xml:space="preserve">by </w:t>
      </w:r>
      <w:r w:rsidR="003B48AC">
        <w:t>471</w:t>
      </w:r>
      <w:r w:rsidR="00EC1B8F">
        <w:t xml:space="preserve"> pupils</w:t>
      </w:r>
      <w:r w:rsidR="0011275B">
        <w:t xml:space="preserve"> (</w:t>
      </w:r>
      <w:r w:rsidR="00FC0AF8">
        <w:t>40%)</w:t>
      </w:r>
      <w:r w:rsidR="003B48AC">
        <w:t xml:space="preserve"> over the same period.</w:t>
      </w:r>
    </w:p>
    <w:p w14:paraId="5FDAC364" w14:textId="77777777" w:rsidR="00D144EC" w:rsidRDefault="00D144EC" w:rsidP="00B83A8A"/>
    <w:p w14:paraId="58A8694D" w14:textId="7F0D0027" w:rsidR="007346BD" w:rsidRDefault="00B83A8A" w:rsidP="00B83A8A">
      <w:r>
        <w:t xml:space="preserve">There is increased demand for specialist </w:t>
      </w:r>
      <w:r w:rsidR="00B34ACA">
        <w:t xml:space="preserve">school </w:t>
      </w:r>
      <w:r>
        <w:t xml:space="preserve">placements for </w:t>
      </w:r>
      <w:r w:rsidR="008740E5">
        <w:t xml:space="preserve">autistic </w:t>
      </w:r>
      <w:r w:rsidR="00D144EC">
        <w:t>pupils</w:t>
      </w:r>
      <w:r w:rsidR="008740E5">
        <w:t xml:space="preserve"> and those</w:t>
      </w:r>
      <w:r>
        <w:t xml:space="preserve"> with a primary need of </w:t>
      </w:r>
      <w:r w:rsidR="00194852">
        <w:t>Communication &amp; Interaction needs</w:t>
      </w:r>
      <w:r>
        <w:t xml:space="preserve">. In Surrey, numbers of school-age </w:t>
      </w:r>
      <w:r w:rsidR="00B34ACA">
        <w:t>pupils</w:t>
      </w:r>
      <w:r>
        <w:t xml:space="preserve"> with </w:t>
      </w:r>
      <w:r w:rsidR="00EC1B8F">
        <w:t xml:space="preserve">this SEN need type </w:t>
      </w:r>
      <w:r w:rsidR="00D144EC">
        <w:t>identified</w:t>
      </w:r>
      <w:r>
        <w:t xml:space="preserve"> as a primary need on their </w:t>
      </w:r>
      <w:r w:rsidR="00D144EC">
        <w:t>Education Health and Care Plan (</w:t>
      </w:r>
      <w:r>
        <w:t>EHCP</w:t>
      </w:r>
      <w:r w:rsidR="00D144EC">
        <w:t>)</w:t>
      </w:r>
      <w:r>
        <w:t xml:space="preserve"> increased by </w:t>
      </w:r>
      <w:r w:rsidR="00ED5CFD">
        <w:t>over 20</w:t>
      </w:r>
      <w:r>
        <w:t xml:space="preserve">% </w:t>
      </w:r>
      <w:r w:rsidR="00ED5CFD">
        <w:t xml:space="preserve">in just three years </w:t>
      </w:r>
      <w:r>
        <w:t>between 2018/19 and 202</w:t>
      </w:r>
      <w:r w:rsidR="00ED5CFD">
        <w:t>0</w:t>
      </w:r>
      <w:r>
        <w:t>/2</w:t>
      </w:r>
      <w:r w:rsidR="00ED5CFD">
        <w:t>1</w:t>
      </w:r>
      <w:r>
        <w:t xml:space="preserve"> (from </w:t>
      </w:r>
      <w:r w:rsidR="00ED5CFD">
        <w:t>4,200</w:t>
      </w:r>
      <w:r>
        <w:t xml:space="preserve"> to </w:t>
      </w:r>
      <w:r w:rsidR="00ED5CFD">
        <w:t>5</w:t>
      </w:r>
      <w:r>
        <w:t>,</w:t>
      </w:r>
      <w:r w:rsidR="00ED5CFD">
        <w:t>084</w:t>
      </w:r>
      <w:r>
        <w:t xml:space="preserve">). The forecasts suggest that numbers will grow </w:t>
      </w:r>
      <w:r w:rsidR="00ED5CFD">
        <w:t xml:space="preserve">by a further 31% </w:t>
      </w:r>
      <w:r>
        <w:t>over the next five years</w:t>
      </w:r>
      <w:r w:rsidR="00A97FB3">
        <w:t>. This is illustrated in the table below:</w:t>
      </w:r>
    </w:p>
    <w:p w14:paraId="7FDF45DD" w14:textId="33881CE8" w:rsidR="00A97FB3" w:rsidRDefault="00A97FB3" w:rsidP="00B83A8A"/>
    <w:tbl>
      <w:tblPr>
        <w:tblStyle w:val="TableGrid"/>
        <w:tblW w:w="0" w:type="auto"/>
        <w:tblLook w:val="04A0" w:firstRow="1" w:lastRow="0" w:firstColumn="1" w:lastColumn="0" w:noHBand="0" w:noVBand="1"/>
        <w:tblCaption w:val="Table 1"/>
        <w:tblDescription w:val="Table showing expected growth in Autistic pupils with EHCPs in 5 years. Total growth is 19 percent for primary, 39 percent for secondary and 53 percent for post 16. 31 percent in total."/>
      </w:tblPr>
      <w:tblGrid>
        <w:gridCol w:w="2124"/>
        <w:gridCol w:w="2124"/>
        <w:gridCol w:w="2124"/>
        <w:gridCol w:w="2124"/>
        <w:gridCol w:w="2125"/>
      </w:tblGrid>
      <w:tr w:rsidR="00A97FB3" w14:paraId="0DBE2600" w14:textId="77777777" w:rsidTr="00574010">
        <w:tc>
          <w:tcPr>
            <w:tcW w:w="2124" w:type="dxa"/>
            <w:shd w:val="clear" w:color="auto" w:fill="auto"/>
            <w:vAlign w:val="bottom"/>
          </w:tcPr>
          <w:p w14:paraId="619A42E2" w14:textId="086A9FBD" w:rsidR="00A97FB3" w:rsidRPr="00EF0F48" w:rsidRDefault="00A97FB3" w:rsidP="00EF0F48">
            <w:pPr>
              <w:jc w:val="center"/>
              <w:rPr>
                <w:rFonts w:cs="Arial"/>
                <w:b/>
                <w:bCs/>
                <w:szCs w:val="24"/>
              </w:rPr>
            </w:pPr>
            <w:r w:rsidRPr="00EF0F48">
              <w:rPr>
                <w:rFonts w:cs="Arial"/>
                <w:b/>
                <w:bCs/>
                <w:color w:val="000000"/>
                <w:szCs w:val="24"/>
              </w:rPr>
              <w:t>Status</w:t>
            </w:r>
          </w:p>
        </w:tc>
        <w:tc>
          <w:tcPr>
            <w:tcW w:w="2124" w:type="dxa"/>
            <w:shd w:val="clear" w:color="auto" w:fill="auto"/>
            <w:vAlign w:val="bottom"/>
          </w:tcPr>
          <w:p w14:paraId="7604B47C" w14:textId="7D7EDB57" w:rsidR="00A97FB3" w:rsidRPr="00EF0F48" w:rsidRDefault="00A97FB3" w:rsidP="00EF0F48">
            <w:pPr>
              <w:jc w:val="center"/>
              <w:rPr>
                <w:rFonts w:cs="Arial"/>
                <w:b/>
                <w:bCs/>
                <w:szCs w:val="24"/>
              </w:rPr>
            </w:pPr>
            <w:r w:rsidRPr="00EF0F48">
              <w:rPr>
                <w:rFonts w:cs="Arial"/>
                <w:b/>
                <w:bCs/>
                <w:color w:val="000000"/>
                <w:szCs w:val="24"/>
              </w:rPr>
              <w:t>Phase</w:t>
            </w:r>
          </w:p>
        </w:tc>
        <w:tc>
          <w:tcPr>
            <w:tcW w:w="2124" w:type="dxa"/>
            <w:shd w:val="clear" w:color="auto" w:fill="auto"/>
            <w:vAlign w:val="bottom"/>
          </w:tcPr>
          <w:p w14:paraId="2D8CF7D4" w14:textId="06B195F7" w:rsidR="00A97FB3" w:rsidRPr="00EF0F48" w:rsidRDefault="00A97FB3" w:rsidP="00EF0F48">
            <w:pPr>
              <w:jc w:val="center"/>
              <w:rPr>
                <w:rFonts w:cs="Arial"/>
                <w:b/>
                <w:bCs/>
                <w:szCs w:val="24"/>
              </w:rPr>
            </w:pPr>
            <w:r w:rsidRPr="00EF0F48">
              <w:rPr>
                <w:rFonts w:cs="Arial"/>
                <w:b/>
                <w:bCs/>
                <w:color w:val="000000"/>
                <w:szCs w:val="24"/>
              </w:rPr>
              <w:t>2020/21</w:t>
            </w:r>
          </w:p>
        </w:tc>
        <w:tc>
          <w:tcPr>
            <w:tcW w:w="2124" w:type="dxa"/>
            <w:shd w:val="clear" w:color="auto" w:fill="auto"/>
            <w:vAlign w:val="bottom"/>
          </w:tcPr>
          <w:p w14:paraId="140C4062" w14:textId="65D2D3DC" w:rsidR="00A97FB3" w:rsidRPr="00EF0F48" w:rsidRDefault="00A97FB3" w:rsidP="00EF0F48">
            <w:pPr>
              <w:jc w:val="center"/>
              <w:rPr>
                <w:rFonts w:cs="Arial"/>
                <w:b/>
                <w:bCs/>
                <w:szCs w:val="24"/>
              </w:rPr>
            </w:pPr>
            <w:r w:rsidRPr="00EF0F48">
              <w:rPr>
                <w:rFonts w:cs="Arial"/>
                <w:b/>
                <w:bCs/>
                <w:color w:val="000000"/>
                <w:szCs w:val="24"/>
              </w:rPr>
              <w:t>2025/26</w:t>
            </w:r>
          </w:p>
        </w:tc>
        <w:tc>
          <w:tcPr>
            <w:tcW w:w="2125" w:type="dxa"/>
            <w:shd w:val="clear" w:color="auto" w:fill="auto"/>
            <w:vAlign w:val="bottom"/>
          </w:tcPr>
          <w:p w14:paraId="350EA434" w14:textId="6416826D" w:rsidR="00A97FB3" w:rsidRPr="00EF0F48" w:rsidRDefault="00A97FB3" w:rsidP="00EF0F48">
            <w:pPr>
              <w:jc w:val="center"/>
              <w:rPr>
                <w:rFonts w:cs="Arial"/>
                <w:b/>
                <w:bCs/>
                <w:szCs w:val="24"/>
              </w:rPr>
            </w:pPr>
            <w:r w:rsidRPr="00EF0F48">
              <w:rPr>
                <w:rFonts w:cs="Arial"/>
                <w:b/>
                <w:bCs/>
                <w:color w:val="000000"/>
                <w:szCs w:val="24"/>
              </w:rPr>
              <w:t>Growth</w:t>
            </w:r>
          </w:p>
        </w:tc>
      </w:tr>
      <w:tr w:rsidR="00A97FB3" w14:paraId="5C61DBE4" w14:textId="77777777" w:rsidTr="00EF0F48">
        <w:tc>
          <w:tcPr>
            <w:tcW w:w="2124" w:type="dxa"/>
            <w:vAlign w:val="bottom"/>
          </w:tcPr>
          <w:p w14:paraId="52C48FF0" w14:textId="4E9671D4" w:rsidR="00A97FB3" w:rsidRPr="00EF0F48" w:rsidRDefault="00A97FB3" w:rsidP="00A97FB3">
            <w:pPr>
              <w:rPr>
                <w:rFonts w:cs="Arial"/>
                <w:szCs w:val="24"/>
              </w:rPr>
            </w:pPr>
            <w:r w:rsidRPr="00EF0F48">
              <w:rPr>
                <w:rFonts w:cs="Arial"/>
                <w:color w:val="000000"/>
                <w:szCs w:val="24"/>
              </w:rPr>
              <w:t>Maintained</w:t>
            </w:r>
          </w:p>
        </w:tc>
        <w:tc>
          <w:tcPr>
            <w:tcW w:w="2124" w:type="dxa"/>
            <w:vAlign w:val="bottom"/>
          </w:tcPr>
          <w:p w14:paraId="59D2BE08" w14:textId="7C99B0DF" w:rsidR="00A97FB3" w:rsidRPr="00EF0F48" w:rsidRDefault="00A97FB3" w:rsidP="00A97FB3">
            <w:pPr>
              <w:rPr>
                <w:rFonts w:cs="Arial"/>
                <w:szCs w:val="24"/>
              </w:rPr>
            </w:pPr>
            <w:r w:rsidRPr="00EF0F48">
              <w:rPr>
                <w:rFonts w:cs="Arial"/>
                <w:color w:val="000000"/>
                <w:szCs w:val="24"/>
              </w:rPr>
              <w:t>Primary</w:t>
            </w:r>
          </w:p>
        </w:tc>
        <w:tc>
          <w:tcPr>
            <w:tcW w:w="2124" w:type="dxa"/>
            <w:vAlign w:val="bottom"/>
          </w:tcPr>
          <w:p w14:paraId="04D11C91" w14:textId="2F235991" w:rsidR="00A97FB3" w:rsidRPr="00EF0F48" w:rsidRDefault="00A97FB3" w:rsidP="00EF0F48">
            <w:pPr>
              <w:jc w:val="center"/>
              <w:rPr>
                <w:rFonts w:cs="Arial"/>
                <w:szCs w:val="24"/>
              </w:rPr>
            </w:pPr>
            <w:r w:rsidRPr="00EF0F48">
              <w:rPr>
                <w:rFonts w:cs="Arial"/>
                <w:color w:val="000000"/>
                <w:szCs w:val="24"/>
              </w:rPr>
              <w:t>2123</w:t>
            </w:r>
          </w:p>
        </w:tc>
        <w:tc>
          <w:tcPr>
            <w:tcW w:w="2124" w:type="dxa"/>
            <w:vAlign w:val="bottom"/>
          </w:tcPr>
          <w:p w14:paraId="65418A1D" w14:textId="7A2FE192" w:rsidR="00A97FB3" w:rsidRPr="00EF0F48" w:rsidRDefault="00A97FB3" w:rsidP="00EF0F48">
            <w:pPr>
              <w:jc w:val="center"/>
              <w:rPr>
                <w:rFonts w:cs="Arial"/>
                <w:szCs w:val="24"/>
              </w:rPr>
            </w:pPr>
            <w:r w:rsidRPr="00EF0F48">
              <w:rPr>
                <w:rFonts w:cs="Arial"/>
                <w:color w:val="000000"/>
                <w:szCs w:val="24"/>
              </w:rPr>
              <w:t>2551</w:t>
            </w:r>
          </w:p>
        </w:tc>
        <w:tc>
          <w:tcPr>
            <w:tcW w:w="2125" w:type="dxa"/>
            <w:vAlign w:val="bottom"/>
          </w:tcPr>
          <w:p w14:paraId="1E5C7785" w14:textId="19ED8C56" w:rsidR="00A97FB3" w:rsidRPr="00EF0F48" w:rsidRDefault="00A97FB3" w:rsidP="00EF0F48">
            <w:pPr>
              <w:jc w:val="center"/>
              <w:rPr>
                <w:rFonts w:cs="Arial"/>
                <w:szCs w:val="24"/>
              </w:rPr>
            </w:pPr>
            <w:r w:rsidRPr="00EF0F48">
              <w:rPr>
                <w:rFonts w:cs="Arial"/>
                <w:color w:val="000000"/>
                <w:szCs w:val="24"/>
              </w:rPr>
              <w:t>20%</w:t>
            </w:r>
          </w:p>
        </w:tc>
      </w:tr>
      <w:tr w:rsidR="00A97FB3" w14:paraId="69476616" w14:textId="77777777" w:rsidTr="00EF0F48">
        <w:tc>
          <w:tcPr>
            <w:tcW w:w="2124" w:type="dxa"/>
            <w:vAlign w:val="bottom"/>
          </w:tcPr>
          <w:p w14:paraId="313DAAF9" w14:textId="492D811B" w:rsidR="00A97FB3" w:rsidRPr="00EF0F48" w:rsidRDefault="00A97FB3" w:rsidP="00A97FB3">
            <w:pPr>
              <w:rPr>
                <w:rFonts w:cs="Arial"/>
                <w:szCs w:val="24"/>
              </w:rPr>
            </w:pPr>
            <w:r w:rsidRPr="00EF0F48">
              <w:rPr>
                <w:rFonts w:cs="Arial"/>
                <w:color w:val="000000"/>
                <w:szCs w:val="24"/>
              </w:rPr>
              <w:t>Maintained</w:t>
            </w:r>
          </w:p>
        </w:tc>
        <w:tc>
          <w:tcPr>
            <w:tcW w:w="2124" w:type="dxa"/>
            <w:vAlign w:val="bottom"/>
          </w:tcPr>
          <w:p w14:paraId="25D4D093" w14:textId="71BEB5AF" w:rsidR="00A97FB3" w:rsidRPr="00EF0F48" w:rsidRDefault="00A97FB3" w:rsidP="00A97FB3">
            <w:pPr>
              <w:rPr>
                <w:rFonts w:cs="Arial"/>
                <w:szCs w:val="24"/>
              </w:rPr>
            </w:pPr>
            <w:r w:rsidRPr="00EF0F48">
              <w:rPr>
                <w:rFonts w:cs="Arial"/>
                <w:color w:val="000000"/>
                <w:szCs w:val="24"/>
              </w:rPr>
              <w:t>Secondary</w:t>
            </w:r>
          </w:p>
        </w:tc>
        <w:tc>
          <w:tcPr>
            <w:tcW w:w="2124" w:type="dxa"/>
            <w:vAlign w:val="bottom"/>
          </w:tcPr>
          <w:p w14:paraId="70526121" w14:textId="3C4CE25A" w:rsidR="00A97FB3" w:rsidRPr="00EF0F48" w:rsidRDefault="00A97FB3" w:rsidP="00EF0F48">
            <w:pPr>
              <w:jc w:val="center"/>
              <w:rPr>
                <w:rFonts w:cs="Arial"/>
                <w:szCs w:val="24"/>
              </w:rPr>
            </w:pPr>
            <w:r w:rsidRPr="00EF0F48">
              <w:rPr>
                <w:rFonts w:cs="Arial"/>
                <w:color w:val="000000"/>
                <w:szCs w:val="24"/>
              </w:rPr>
              <w:t>1313</w:t>
            </w:r>
          </w:p>
        </w:tc>
        <w:tc>
          <w:tcPr>
            <w:tcW w:w="2124" w:type="dxa"/>
            <w:vAlign w:val="bottom"/>
          </w:tcPr>
          <w:p w14:paraId="23652501" w14:textId="6C946033" w:rsidR="00A97FB3" w:rsidRPr="00EF0F48" w:rsidRDefault="00A97FB3" w:rsidP="00EF0F48">
            <w:pPr>
              <w:jc w:val="center"/>
              <w:rPr>
                <w:rFonts w:cs="Arial"/>
                <w:szCs w:val="24"/>
              </w:rPr>
            </w:pPr>
            <w:r w:rsidRPr="00EF0F48">
              <w:rPr>
                <w:rFonts w:cs="Arial"/>
                <w:color w:val="000000"/>
                <w:szCs w:val="24"/>
              </w:rPr>
              <w:t>1855</w:t>
            </w:r>
          </w:p>
        </w:tc>
        <w:tc>
          <w:tcPr>
            <w:tcW w:w="2125" w:type="dxa"/>
            <w:vAlign w:val="bottom"/>
          </w:tcPr>
          <w:p w14:paraId="7A494E22" w14:textId="133B65A3" w:rsidR="00A97FB3" w:rsidRPr="00EF0F48" w:rsidRDefault="00A97FB3" w:rsidP="00EF0F48">
            <w:pPr>
              <w:jc w:val="center"/>
              <w:rPr>
                <w:rFonts w:cs="Arial"/>
                <w:szCs w:val="24"/>
              </w:rPr>
            </w:pPr>
            <w:r w:rsidRPr="00EF0F48">
              <w:rPr>
                <w:rFonts w:cs="Arial"/>
                <w:color w:val="000000"/>
                <w:szCs w:val="24"/>
              </w:rPr>
              <w:t>41%</w:t>
            </w:r>
          </w:p>
        </w:tc>
      </w:tr>
      <w:tr w:rsidR="00A97FB3" w14:paraId="58A288E0" w14:textId="77777777" w:rsidTr="00EF0F48">
        <w:tc>
          <w:tcPr>
            <w:tcW w:w="2124" w:type="dxa"/>
            <w:tcBorders>
              <w:bottom w:val="single" w:sz="8" w:space="0" w:color="auto"/>
            </w:tcBorders>
            <w:vAlign w:val="bottom"/>
          </w:tcPr>
          <w:p w14:paraId="73243E05" w14:textId="68B6E146" w:rsidR="00A97FB3" w:rsidRPr="00EF0F48" w:rsidRDefault="00A97FB3" w:rsidP="00A97FB3">
            <w:pPr>
              <w:rPr>
                <w:rFonts w:cs="Arial"/>
                <w:szCs w:val="24"/>
              </w:rPr>
            </w:pPr>
            <w:r w:rsidRPr="00EF0F48">
              <w:rPr>
                <w:rFonts w:cs="Arial"/>
                <w:color w:val="000000"/>
                <w:szCs w:val="24"/>
              </w:rPr>
              <w:t>Maintained</w:t>
            </w:r>
          </w:p>
        </w:tc>
        <w:tc>
          <w:tcPr>
            <w:tcW w:w="2124" w:type="dxa"/>
            <w:tcBorders>
              <w:bottom w:val="single" w:sz="8" w:space="0" w:color="auto"/>
            </w:tcBorders>
            <w:vAlign w:val="bottom"/>
          </w:tcPr>
          <w:p w14:paraId="506C3276" w14:textId="4AED2A13" w:rsidR="00A97FB3" w:rsidRPr="00EF0F48" w:rsidRDefault="00A97FB3" w:rsidP="00A97FB3">
            <w:pPr>
              <w:rPr>
                <w:rFonts w:cs="Arial"/>
                <w:szCs w:val="24"/>
              </w:rPr>
            </w:pPr>
            <w:r w:rsidRPr="00EF0F48">
              <w:rPr>
                <w:rFonts w:cs="Arial"/>
                <w:color w:val="000000"/>
                <w:szCs w:val="24"/>
              </w:rPr>
              <w:t>Post-16</w:t>
            </w:r>
          </w:p>
        </w:tc>
        <w:tc>
          <w:tcPr>
            <w:tcW w:w="2124" w:type="dxa"/>
            <w:tcBorders>
              <w:bottom w:val="single" w:sz="8" w:space="0" w:color="auto"/>
            </w:tcBorders>
            <w:vAlign w:val="bottom"/>
          </w:tcPr>
          <w:p w14:paraId="61D8C164" w14:textId="0773E71C" w:rsidR="00A97FB3" w:rsidRPr="00EF0F48" w:rsidRDefault="00A97FB3" w:rsidP="00EF0F48">
            <w:pPr>
              <w:jc w:val="center"/>
              <w:rPr>
                <w:rFonts w:cs="Arial"/>
                <w:szCs w:val="24"/>
              </w:rPr>
            </w:pPr>
            <w:r w:rsidRPr="00EF0F48">
              <w:rPr>
                <w:rFonts w:cs="Arial"/>
                <w:color w:val="000000"/>
                <w:szCs w:val="24"/>
              </w:rPr>
              <w:t>270</w:t>
            </w:r>
          </w:p>
        </w:tc>
        <w:tc>
          <w:tcPr>
            <w:tcW w:w="2124" w:type="dxa"/>
            <w:tcBorders>
              <w:bottom w:val="single" w:sz="8" w:space="0" w:color="auto"/>
            </w:tcBorders>
            <w:vAlign w:val="bottom"/>
          </w:tcPr>
          <w:p w14:paraId="53800214" w14:textId="0475C63D" w:rsidR="00A97FB3" w:rsidRPr="00EF0F48" w:rsidRDefault="00A97FB3" w:rsidP="00EF0F48">
            <w:pPr>
              <w:jc w:val="center"/>
              <w:rPr>
                <w:rFonts w:cs="Arial"/>
                <w:szCs w:val="24"/>
              </w:rPr>
            </w:pPr>
            <w:r w:rsidRPr="00EF0F48">
              <w:rPr>
                <w:rFonts w:cs="Arial"/>
                <w:color w:val="000000"/>
                <w:szCs w:val="24"/>
              </w:rPr>
              <w:t>441</w:t>
            </w:r>
          </w:p>
        </w:tc>
        <w:tc>
          <w:tcPr>
            <w:tcW w:w="2125" w:type="dxa"/>
            <w:tcBorders>
              <w:bottom w:val="single" w:sz="8" w:space="0" w:color="auto"/>
            </w:tcBorders>
            <w:vAlign w:val="bottom"/>
          </w:tcPr>
          <w:p w14:paraId="70DC908E" w14:textId="3542B3F4" w:rsidR="00A97FB3" w:rsidRPr="00EF0F48" w:rsidRDefault="00A97FB3" w:rsidP="00EF0F48">
            <w:pPr>
              <w:jc w:val="center"/>
              <w:rPr>
                <w:rFonts w:cs="Arial"/>
                <w:szCs w:val="24"/>
              </w:rPr>
            </w:pPr>
            <w:r w:rsidRPr="00EF0F48">
              <w:rPr>
                <w:rFonts w:cs="Arial"/>
                <w:color w:val="000000"/>
                <w:szCs w:val="24"/>
              </w:rPr>
              <w:t>63%</w:t>
            </w:r>
          </w:p>
        </w:tc>
      </w:tr>
      <w:tr w:rsidR="00A97FB3" w14:paraId="0AB7A689" w14:textId="77777777" w:rsidTr="00EF0F48">
        <w:tc>
          <w:tcPr>
            <w:tcW w:w="2124" w:type="dxa"/>
            <w:tcBorders>
              <w:top w:val="single" w:sz="8" w:space="0" w:color="auto"/>
            </w:tcBorders>
            <w:vAlign w:val="bottom"/>
          </w:tcPr>
          <w:p w14:paraId="6E69EBCA" w14:textId="077DECD1" w:rsidR="00A97FB3" w:rsidRPr="00EF0F48" w:rsidRDefault="00D312D2" w:rsidP="00A97FB3">
            <w:pPr>
              <w:rPr>
                <w:rFonts w:cs="Arial"/>
                <w:szCs w:val="24"/>
              </w:rPr>
            </w:pPr>
            <w:r>
              <w:rPr>
                <w:rFonts w:cs="Arial"/>
                <w:color w:val="000000"/>
                <w:szCs w:val="24"/>
              </w:rPr>
              <w:t>NMI</w:t>
            </w:r>
            <w:r w:rsidR="00A97FB3" w:rsidRPr="00EF0F48">
              <w:rPr>
                <w:rFonts w:cs="Arial"/>
                <w:color w:val="000000"/>
                <w:szCs w:val="24"/>
              </w:rPr>
              <w:t xml:space="preserve"> / Other</w:t>
            </w:r>
          </w:p>
        </w:tc>
        <w:tc>
          <w:tcPr>
            <w:tcW w:w="2124" w:type="dxa"/>
            <w:tcBorders>
              <w:top w:val="single" w:sz="8" w:space="0" w:color="auto"/>
            </w:tcBorders>
            <w:vAlign w:val="bottom"/>
          </w:tcPr>
          <w:p w14:paraId="70878C3B" w14:textId="6DDE72A8" w:rsidR="00A97FB3" w:rsidRPr="00EF0F48" w:rsidRDefault="00A97FB3" w:rsidP="00A97FB3">
            <w:pPr>
              <w:rPr>
                <w:rFonts w:cs="Arial"/>
                <w:szCs w:val="24"/>
              </w:rPr>
            </w:pPr>
            <w:r w:rsidRPr="00EF0F48">
              <w:rPr>
                <w:rFonts w:cs="Arial"/>
                <w:color w:val="000000"/>
                <w:szCs w:val="24"/>
              </w:rPr>
              <w:t>Primary</w:t>
            </w:r>
          </w:p>
        </w:tc>
        <w:tc>
          <w:tcPr>
            <w:tcW w:w="2124" w:type="dxa"/>
            <w:tcBorders>
              <w:top w:val="single" w:sz="8" w:space="0" w:color="auto"/>
            </w:tcBorders>
            <w:vAlign w:val="bottom"/>
          </w:tcPr>
          <w:p w14:paraId="1B1BAA59" w14:textId="09E17FEF" w:rsidR="00A97FB3" w:rsidRPr="00EF0F48" w:rsidRDefault="00A97FB3" w:rsidP="00EF0F48">
            <w:pPr>
              <w:jc w:val="center"/>
              <w:rPr>
                <w:rFonts w:cs="Arial"/>
                <w:szCs w:val="24"/>
              </w:rPr>
            </w:pPr>
            <w:r w:rsidRPr="00EF0F48">
              <w:rPr>
                <w:rFonts w:cs="Arial"/>
                <w:color w:val="000000"/>
                <w:szCs w:val="24"/>
              </w:rPr>
              <w:t>360</w:t>
            </w:r>
          </w:p>
        </w:tc>
        <w:tc>
          <w:tcPr>
            <w:tcW w:w="2124" w:type="dxa"/>
            <w:tcBorders>
              <w:top w:val="single" w:sz="8" w:space="0" w:color="auto"/>
            </w:tcBorders>
            <w:vAlign w:val="bottom"/>
          </w:tcPr>
          <w:p w14:paraId="0F62D600" w14:textId="2AF5B2B1" w:rsidR="00A97FB3" w:rsidRPr="00EF0F48" w:rsidRDefault="00A97FB3" w:rsidP="00EF0F48">
            <w:pPr>
              <w:jc w:val="center"/>
              <w:rPr>
                <w:rFonts w:cs="Arial"/>
                <w:szCs w:val="24"/>
              </w:rPr>
            </w:pPr>
            <w:r w:rsidRPr="00EF0F48">
              <w:rPr>
                <w:rFonts w:cs="Arial"/>
                <w:color w:val="000000"/>
                <w:szCs w:val="24"/>
              </w:rPr>
              <w:t>400</w:t>
            </w:r>
          </w:p>
        </w:tc>
        <w:tc>
          <w:tcPr>
            <w:tcW w:w="2125" w:type="dxa"/>
            <w:tcBorders>
              <w:top w:val="single" w:sz="8" w:space="0" w:color="auto"/>
            </w:tcBorders>
            <w:vAlign w:val="bottom"/>
          </w:tcPr>
          <w:p w14:paraId="5DB88448" w14:textId="2ED4F2FD" w:rsidR="00A97FB3" w:rsidRPr="00EF0F48" w:rsidRDefault="00A97FB3" w:rsidP="00EF0F48">
            <w:pPr>
              <w:jc w:val="center"/>
              <w:rPr>
                <w:rFonts w:cs="Arial"/>
                <w:szCs w:val="24"/>
              </w:rPr>
            </w:pPr>
            <w:r w:rsidRPr="00EF0F48">
              <w:rPr>
                <w:rFonts w:cs="Arial"/>
                <w:color w:val="000000"/>
                <w:szCs w:val="24"/>
              </w:rPr>
              <w:t>11%</w:t>
            </w:r>
          </w:p>
        </w:tc>
      </w:tr>
      <w:tr w:rsidR="00A97FB3" w14:paraId="5474AE1D" w14:textId="77777777" w:rsidTr="00EF0F48">
        <w:tc>
          <w:tcPr>
            <w:tcW w:w="2124" w:type="dxa"/>
            <w:vAlign w:val="bottom"/>
          </w:tcPr>
          <w:p w14:paraId="427C8A38" w14:textId="65671A8C" w:rsidR="00A97FB3" w:rsidRPr="00EF0F48" w:rsidRDefault="00A97FB3" w:rsidP="00A97FB3">
            <w:pPr>
              <w:rPr>
                <w:rFonts w:cs="Arial"/>
                <w:szCs w:val="24"/>
              </w:rPr>
            </w:pPr>
            <w:r w:rsidRPr="00EF0F48">
              <w:rPr>
                <w:rFonts w:cs="Arial"/>
                <w:color w:val="000000"/>
                <w:szCs w:val="24"/>
              </w:rPr>
              <w:t>NMI / Other</w:t>
            </w:r>
          </w:p>
        </w:tc>
        <w:tc>
          <w:tcPr>
            <w:tcW w:w="2124" w:type="dxa"/>
            <w:vAlign w:val="bottom"/>
          </w:tcPr>
          <w:p w14:paraId="3ECF65E1" w14:textId="0D7446EE" w:rsidR="00A97FB3" w:rsidRPr="00EF0F48" w:rsidRDefault="00A97FB3" w:rsidP="00A97FB3">
            <w:pPr>
              <w:rPr>
                <w:rFonts w:cs="Arial"/>
                <w:szCs w:val="24"/>
              </w:rPr>
            </w:pPr>
            <w:r w:rsidRPr="00EF0F48">
              <w:rPr>
                <w:rFonts w:cs="Arial"/>
                <w:color w:val="000000"/>
                <w:szCs w:val="24"/>
              </w:rPr>
              <w:t>Secondary</w:t>
            </w:r>
          </w:p>
        </w:tc>
        <w:tc>
          <w:tcPr>
            <w:tcW w:w="2124" w:type="dxa"/>
            <w:vAlign w:val="bottom"/>
          </w:tcPr>
          <w:p w14:paraId="358432EB" w14:textId="40D1BFA6" w:rsidR="00A97FB3" w:rsidRPr="00EF0F48" w:rsidRDefault="00A97FB3" w:rsidP="00EF0F48">
            <w:pPr>
              <w:jc w:val="center"/>
              <w:rPr>
                <w:rFonts w:cs="Arial"/>
                <w:szCs w:val="24"/>
              </w:rPr>
            </w:pPr>
            <w:r w:rsidRPr="00EF0F48">
              <w:rPr>
                <w:rFonts w:cs="Arial"/>
                <w:color w:val="000000"/>
                <w:szCs w:val="24"/>
              </w:rPr>
              <w:t>479</w:t>
            </w:r>
          </w:p>
        </w:tc>
        <w:tc>
          <w:tcPr>
            <w:tcW w:w="2124" w:type="dxa"/>
            <w:vAlign w:val="bottom"/>
          </w:tcPr>
          <w:p w14:paraId="2BA23478" w14:textId="49B21D12" w:rsidR="00A97FB3" w:rsidRPr="00EF0F48" w:rsidRDefault="00A97FB3" w:rsidP="00EF0F48">
            <w:pPr>
              <w:jc w:val="center"/>
              <w:rPr>
                <w:rFonts w:cs="Arial"/>
                <w:szCs w:val="24"/>
              </w:rPr>
            </w:pPr>
            <w:r w:rsidRPr="00EF0F48">
              <w:rPr>
                <w:rFonts w:cs="Arial"/>
                <w:color w:val="000000"/>
                <w:szCs w:val="24"/>
              </w:rPr>
              <w:t>632</w:t>
            </w:r>
          </w:p>
        </w:tc>
        <w:tc>
          <w:tcPr>
            <w:tcW w:w="2125" w:type="dxa"/>
            <w:vAlign w:val="bottom"/>
          </w:tcPr>
          <w:p w14:paraId="08C3A3EF" w14:textId="5112063E" w:rsidR="00A97FB3" w:rsidRPr="00EF0F48" w:rsidRDefault="00A97FB3" w:rsidP="00EF0F48">
            <w:pPr>
              <w:jc w:val="center"/>
              <w:rPr>
                <w:rFonts w:cs="Arial"/>
                <w:szCs w:val="24"/>
              </w:rPr>
            </w:pPr>
            <w:r w:rsidRPr="00EF0F48">
              <w:rPr>
                <w:rFonts w:cs="Arial"/>
                <w:color w:val="000000"/>
                <w:szCs w:val="24"/>
              </w:rPr>
              <w:t>32%</w:t>
            </w:r>
          </w:p>
        </w:tc>
      </w:tr>
      <w:tr w:rsidR="00A97FB3" w14:paraId="5024C794" w14:textId="77777777" w:rsidTr="00EF0F48">
        <w:tc>
          <w:tcPr>
            <w:tcW w:w="2124" w:type="dxa"/>
            <w:tcBorders>
              <w:bottom w:val="single" w:sz="8" w:space="0" w:color="auto"/>
            </w:tcBorders>
            <w:vAlign w:val="bottom"/>
          </w:tcPr>
          <w:p w14:paraId="1B486169" w14:textId="3EE03440" w:rsidR="00A97FB3" w:rsidRPr="00EF0F48" w:rsidRDefault="00A97FB3" w:rsidP="00A97FB3">
            <w:pPr>
              <w:rPr>
                <w:rFonts w:cs="Arial"/>
                <w:szCs w:val="24"/>
              </w:rPr>
            </w:pPr>
            <w:r w:rsidRPr="00EF0F48">
              <w:rPr>
                <w:rFonts w:cs="Arial"/>
                <w:color w:val="000000"/>
                <w:szCs w:val="24"/>
              </w:rPr>
              <w:t>NMI / Other</w:t>
            </w:r>
          </w:p>
        </w:tc>
        <w:tc>
          <w:tcPr>
            <w:tcW w:w="2124" w:type="dxa"/>
            <w:tcBorders>
              <w:bottom w:val="single" w:sz="8" w:space="0" w:color="auto"/>
            </w:tcBorders>
            <w:vAlign w:val="bottom"/>
          </w:tcPr>
          <w:p w14:paraId="42CDA893" w14:textId="2B9F651F" w:rsidR="00A97FB3" w:rsidRPr="00EF0F48" w:rsidRDefault="00A97FB3" w:rsidP="00A97FB3">
            <w:pPr>
              <w:rPr>
                <w:rFonts w:cs="Arial"/>
                <w:szCs w:val="24"/>
              </w:rPr>
            </w:pPr>
            <w:r w:rsidRPr="00EF0F48">
              <w:rPr>
                <w:rFonts w:cs="Arial"/>
                <w:color w:val="000000"/>
                <w:szCs w:val="24"/>
              </w:rPr>
              <w:t>Post-16</w:t>
            </w:r>
          </w:p>
        </w:tc>
        <w:tc>
          <w:tcPr>
            <w:tcW w:w="2124" w:type="dxa"/>
            <w:tcBorders>
              <w:bottom w:val="single" w:sz="8" w:space="0" w:color="auto"/>
            </w:tcBorders>
            <w:vAlign w:val="bottom"/>
          </w:tcPr>
          <w:p w14:paraId="66C8E86A" w14:textId="1CF7258A" w:rsidR="00A97FB3" w:rsidRPr="00EF0F48" w:rsidRDefault="00A97FB3" w:rsidP="00EF0F48">
            <w:pPr>
              <w:jc w:val="center"/>
              <w:rPr>
                <w:rFonts w:cs="Arial"/>
                <w:szCs w:val="24"/>
              </w:rPr>
            </w:pPr>
            <w:r w:rsidRPr="00EF0F48">
              <w:rPr>
                <w:rFonts w:cs="Arial"/>
                <w:color w:val="000000"/>
                <w:szCs w:val="24"/>
              </w:rPr>
              <w:t>539</w:t>
            </w:r>
          </w:p>
        </w:tc>
        <w:tc>
          <w:tcPr>
            <w:tcW w:w="2124" w:type="dxa"/>
            <w:tcBorders>
              <w:bottom w:val="single" w:sz="8" w:space="0" w:color="auto"/>
            </w:tcBorders>
            <w:vAlign w:val="bottom"/>
          </w:tcPr>
          <w:p w14:paraId="4489229E" w14:textId="5067D95A" w:rsidR="00A97FB3" w:rsidRPr="00EF0F48" w:rsidRDefault="00A97FB3" w:rsidP="00EF0F48">
            <w:pPr>
              <w:jc w:val="center"/>
              <w:rPr>
                <w:rFonts w:cs="Arial"/>
                <w:szCs w:val="24"/>
              </w:rPr>
            </w:pPr>
            <w:r w:rsidRPr="00EF0F48">
              <w:rPr>
                <w:rFonts w:cs="Arial"/>
                <w:color w:val="000000"/>
                <w:szCs w:val="24"/>
              </w:rPr>
              <w:t>795</w:t>
            </w:r>
          </w:p>
        </w:tc>
        <w:tc>
          <w:tcPr>
            <w:tcW w:w="2125" w:type="dxa"/>
            <w:tcBorders>
              <w:bottom w:val="single" w:sz="8" w:space="0" w:color="auto"/>
            </w:tcBorders>
            <w:vAlign w:val="bottom"/>
          </w:tcPr>
          <w:p w14:paraId="5C01E7C1" w14:textId="3B0A30B4" w:rsidR="00A97FB3" w:rsidRPr="00EF0F48" w:rsidRDefault="00A97FB3" w:rsidP="00EF0F48">
            <w:pPr>
              <w:jc w:val="center"/>
              <w:rPr>
                <w:rFonts w:cs="Arial"/>
                <w:szCs w:val="24"/>
              </w:rPr>
            </w:pPr>
            <w:r w:rsidRPr="00EF0F48">
              <w:rPr>
                <w:rFonts w:cs="Arial"/>
                <w:color w:val="000000"/>
                <w:szCs w:val="24"/>
              </w:rPr>
              <w:t>48%</w:t>
            </w:r>
          </w:p>
        </w:tc>
      </w:tr>
      <w:tr w:rsidR="00A97FB3" w14:paraId="606D3EB8" w14:textId="77777777" w:rsidTr="00EF0F48">
        <w:tc>
          <w:tcPr>
            <w:tcW w:w="2124" w:type="dxa"/>
            <w:tcBorders>
              <w:top w:val="single" w:sz="8" w:space="0" w:color="auto"/>
            </w:tcBorders>
            <w:vAlign w:val="bottom"/>
          </w:tcPr>
          <w:p w14:paraId="2E096B42" w14:textId="10FB4F85" w:rsidR="00A97FB3" w:rsidRPr="00EF0F48" w:rsidRDefault="00A97FB3" w:rsidP="00A97FB3">
            <w:pPr>
              <w:rPr>
                <w:rFonts w:cs="Arial"/>
                <w:szCs w:val="24"/>
              </w:rPr>
            </w:pPr>
            <w:r w:rsidRPr="00EF0F48">
              <w:rPr>
                <w:rFonts w:cs="Arial"/>
                <w:color w:val="000000"/>
                <w:szCs w:val="24"/>
              </w:rPr>
              <w:t>Total</w:t>
            </w:r>
          </w:p>
        </w:tc>
        <w:tc>
          <w:tcPr>
            <w:tcW w:w="2124" w:type="dxa"/>
            <w:tcBorders>
              <w:top w:val="single" w:sz="8" w:space="0" w:color="auto"/>
            </w:tcBorders>
            <w:vAlign w:val="bottom"/>
          </w:tcPr>
          <w:p w14:paraId="3A648B6F" w14:textId="14266AE6" w:rsidR="00A97FB3" w:rsidRPr="00EF0F48" w:rsidRDefault="00A97FB3" w:rsidP="00A97FB3">
            <w:pPr>
              <w:rPr>
                <w:rFonts w:cs="Arial"/>
                <w:szCs w:val="24"/>
              </w:rPr>
            </w:pPr>
            <w:r w:rsidRPr="00EF0F48">
              <w:rPr>
                <w:rFonts w:cs="Arial"/>
                <w:color w:val="000000"/>
                <w:szCs w:val="24"/>
              </w:rPr>
              <w:t>Primary</w:t>
            </w:r>
          </w:p>
        </w:tc>
        <w:tc>
          <w:tcPr>
            <w:tcW w:w="2124" w:type="dxa"/>
            <w:tcBorders>
              <w:top w:val="single" w:sz="8" w:space="0" w:color="auto"/>
            </w:tcBorders>
            <w:vAlign w:val="bottom"/>
          </w:tcPr>
          <w:p w14:paraId="3E45ED9A" w14:textId="20DFBB45" w:rsidR="00A97FB3" w:rsidRPr="00EF0F48" w:rsidRDefault="00A97FB3" w:rsidP="00EF0F48">
            <w:pPr>
              <w:jc w:val="center"/>
              <w:rPr>
                <w:rFonts w:cs="Arial"/>
                <w:szCs w:val="24"/>
              </w:rPr>
            </w:pPr>
            <w:r w:rsidRPr="00EF0F48">
              <w:rPr>
                <w:rFonts w:cs="Arial"/>
                <w:color w:val="000000"/>
                <w:szCs w:val="24"/>
              </w:rPr>
              <w:t>2483</w:t>
            </w:r>
          </w:p>
        </w:tc>
        <w:tc>
          <w:tcPr>
            <w:tcW w:w="2124" w:type="dxa"/>
            <w:tcBorders>
              <w:top w:val="single" w:sz="8" w:space="0" w:color="auto"/>
            </w:tcBorders>
            <w:vAlign w:val="bottom"/>
          </w:tcPr>
          <w:p w14:paraId="1BB90357" w14:textId="42200502" w:rsidR="00A97FB3" w:rsidRPr="00EF0F48" w:rsidRDefault="00A97FB3" w:rsidP="00EF0F48">
            <w:pPr>
              <w:jc w:val="center"/>
              <w:rPr>
                <w:rFonts w:cs="Arial"/>
                <w:szCs w:val="24"/>
              </w:rPr>
            </w:pPr>
            <w:r w:rsidRPr="00EF0F48">
              <w:rPr>
                <w:rFonts w:cs="Arial"/>
                <w:color w:val="000000"/>
                <w:szCs w:val="24"/>
              </w:rPr>
              <w:t>2952</w:t>
            </w:r>
          </w:p>
        </w:tc>
        <w:tc>
          <w:tcPr>
            <w:tcW w:w="2125" w:type="dxa"/>
            <w:tcBorders>
              <w:top w:val="single" w:sz="8" w:space="0" w:color="auto"/>
            </w:tcBorders>
            <w:vAlign w:val="bottom"/>
          </w:tcPr>
          <w:p w14:paraId="23C1E4A4" w14:textId="616CE761" w:rsidR="00A97FB3" w:rsidRPr="00EF0F48" w:rsidRDefault="00A97FB3" w:rsidP="00EF0F48">
            <w:pPr>
              <w:jc w:val="center"/>
              <w:rPr>
                <w:rFonts w:cs="Arial"/>
                <w:szCs w:val="24"/>
              </w:rPr>
            </w:pPr>
            <w:r w:rsidRPr="00EF0F48">
              <w:rPr>
                <w:rFonts w:cs="Arial"/>
                <w:color w:val="000000"/>
                <w:szCs w:val="24"/>
              </w:rPr>
              <w:t>19%</w:t>
            </w:r>
          </w:p>
        </w:tc>
      </w:tr>
      <w:tr w:rsidR="00A97FB3" w14:paraId="46471965" w14:textId="77777777" w:rsidTr="00EF0F48">
        <w:tc>
          <w:tcPr>
            <w:tcW w:w="2124" w:type="dxa"/>
            <w:vAlign w:val="bottom"/>
          </w:tcPr>
          <w:p w14:paraId="4D515622" w14:textId="29F56349" w:rsidR="00A97FB3" w:rsidRPr="00EF0F48" w:rsidRDefault="00A97FB3" w:rsidP="00A97FB3">
            <w:pPr>
              <w:rPr>
                <w:rFonts w:cs="Arial"/>
                <w:szCs w:val="24"/>
              </w:rPr>
            </w:pPr>
            <w:r w:rsidRPr="00EF0F48">
              <w:rPr>
                <w:rFonts w:cs="Arial"/>
                <w:color w:val="000000"/>
                <w:szCs w:val="24"/>
              </w:rPr>
              <w:t>Total</w:t>
            </w:r>
          </w:p>
        </w:tc>
        <w:tc>
          <w:tcPr>
            <w:tcW w:w="2124" w:type="dxa"/>
            <w:vAlign w:val="bottom"/>
          </w:tcPr>
          <w:p w14:paraId="44623EF4" w14:textId="45EEA257" w:rsidR="00A97FB3" w:rsidRPr="00EF0F48" w:rsidRDefault="00A97FB3" w:rsidP="00A97FB3">
            <w:pPr>
              <w:rPr>
                <w:rFonts w:cs="Arial"/>
                <w:szCs w:val="24"/>
              </w:rPr>
            </w:pPr>
            <w:r w:rsidRPr="00EF0F48">
              <w:rPr>
                <w:rFonts w:cs="Arial"/>
                <w:color w:val="000000"/>
                <w:szCs w:val="24"/>
              </w:rPr>
              <w:t>Secondary</w:t>
            </w:r>
          </w:p>
        </w:tc>
        <w:tc>
          <w:tcPr>
            <w:tcW w:w="2124" w:type="dxa"/>
            <w:vAlign w:val="bottom"/>
          </w:tcPr>
          <w:p w14:paraId="0815E000" w14:textId="6ED6ADA2" w:rsidR="00A97FB3" w:rsidRPr="00EF0F48" w:rsidRDefault="00A97FB3" w:rsidP="00EF0F48">
            <w:pPr>
              <w:jc w:val="center"/>
              <w:rPr>
                <w:rFonts w:cs="Arial"/>
                <w:szCs w:val="24"/>
              </w:rPr>
            </w:pPr>
            <w:r w:rsidRPr="00EF0F48">
              <w:rPr>
                <w:rFonts w:cs="Arial"/>
                <w:color w:val="000000"/>
                <w:szCs w:val="24"/>
              </w:rPr>
              <w:t>1792</w:t>
            </w:r>
          </w:p>
        </w:tc>
        <w:tc>
          <w:tcPr>
            <w:tcW w:w="2124" w:type="dxa"/>
            <w:vAlign w:val="bottom"/>
          </w:tcPr>
          <w:p w14:paraId="4A3F0CCF" w14:textId="3CD00B60" w:rsidR="00A97FB3" w:rsidRPr="00EF0F48" w:rsidRDefault="00A97FB3" w:rsidP="00EF0F48">
            <w:pPr>
              <w:jc w:val="center"/>
              <w:rPr>
                <w:rFonts w:cs="Arial"/>
                <w:szCs w:val="24"/>
              </w:rPr>
            </w:pPr>
            <w:r w:rsidRPr="00EF0F48">
              <w:rPr>
                <w:rFonts w:cs="Arial"/>
                <w:color w:val="000000"/>
                <w:szCs w:val="24"/>
              </w:rPr>
              <w:t>2487</w:t>
            </w:r>
          </w:p>
        </w:tc>
        <w:tc>
          <w:tcPr>
            <w:tcW w:w="2125" w:type="dxa"/>
            <w:vAlign w:val="bottom"/>
          </w:tcPr>
          <w:p w14:paraId="6FDB2C80" w14:textId="14512E88" w:rsidR="00A97FB3" w:rsidRPr="00EF0F48" w:rsidRDefault="00A97FB3" w:rsidP="00EF0F48">
            <w:pPr>
              <w:jc w:val="center"/>
              <w:rPr>
                <w:rFonts w:cs="Arial"/>
                <w:szCs w:val="24"/>
              </w:rPr>
            </w:pPr>
            <w:r w:rsidRPr="00EF0F48">
              <w:rPr>
                <w:rFonts w:cs="Arial"/>
                <w:color w:val="000000"/>
                <w:szCs w:val="24"/>
              </w:rPr>
              <w:t>39%</w:t>
            </w:r>
          </w:p>
        </w:tc>
      </w:tr>
      <w:tr w:rsidR="00A97FB3" w14:paraId="3D2F3BF0" w14:textId="77777777" w:rsidTr="00EF0F48">
        <w:tc>
          <w:tcPr>
            <w:tcW w:w="2124" w:type="dxa"/>
            <w:tcBorders>
              <w:bottom w:val="double" w:sz="4" w:space="0" w:color="auto"/>
            </w:tcBorders>
            <w:vAlign w:val="bottom"/>
          </w:tcPr>
          <w:p w14:paraId="598C59E7" w14:textId="0972C3EB" w:rsidR="00A97FB3" w:rsidRPr="00EF0F48" w:rsidRDefault="00A97FB3" w:rsidP="00A97FB3">
            <w:pPr>
              <w:rPr>
                <w:rFonts w:cs="Arial"/>
                <w:szCs w:val="24"/>
              </w:rPr>
            </w:pPr>
            <w:r w:rsidRPr="00EF0F48">
              <w:rPr>
                <w:rFonts w:cs="Arial"/>
                <w:color w:val="000000"/>
                <w:szCs w:val="24"/>
              </w:rPr>
              <w:t>Total</w:t>
            </w:r>
          </w:p>
        </w:tc>
        <w:tc>
          <w:tcPr>
            <w:tcW w:w="2124" w:type="dxa"/>
            <w:tcBorders>
              <w:bottom w:val="double" w:sz="4" w:space="0" w:color="auto"/>
            </w:tcBorders>
            <w:vAlign w:val="bottom"/>
          </w:tcPr>
          <w:p w14:paraId="7861EB06" w14:textId="12D2BDCE" w:rsidR="00A97FB3" w:rsidRPr="00EF0F48" w:rsidRDefault="00A97FB3" w:rsidP="00A97FB3">
            <w:pPr>
              <w:rPr>
                <w:rFonts w:cs="Arial"/>
                <w:szCs w:val="24"/>
              </w:rPr>
            </w:pPr>
            <w:r w:rsidRPr="00EF0F48">
              <w:rPr>
                <w:rFonts w:cs="Arial"/>
                <w:color w:val="000000"/>
                <w:szCs w:val="24"/>
              </w:rPr>
              <w:t>Post-16</w:t>
            </w:r>
          </w:p>
        </w:tc>
        <w:tc>
          <w:tcPr>
            <w:tcW w:w="2124" w:type="dxa"/>
            <w:tcBorders>
              <w:bottom w:val="double" w:sz="4" w:space="0" w:color="auto"/>
            </w:tcBorders>
            <w:vAlign w:val="bottom"/>
          </w:tcPr>
          <w:p w14:paraId="5F824BE6" w14:textId="39C83A7D" w:rsidR="00A97FB3" w:rsidRPr="00EF0F48" w:rsidRDefault="00A97FB3" w:rsidP="00EF0F48">
            <w:pPr>
              <w:jc w:val="center"/>
              <w:rPr>
                <w:rFonts w:cs="Arial"/>
                <w:szCs w:val="24"/>
              </w:rPr>
            </w:pPr>
            <w:r w:rsidRPr="00EF0F48">
              <w:rPr>
                <w:rFonts w:cs="Arial"/>
                <w:color w:val="000000"/>
                <w:szCs w:val="24"/>
              </w:rPr>
              <w:t>809</w:t>
            </w:r>
          </w:p>
        </w:tc>
        <w:tc>
          <w:tcPr>
            <w:tcW w:w="2124" w:type="dxa"/>
            <w:tcBorders>
              <w:bottom w:val="double" w:sz="4" w:space="0" w:color="auto"/>
            </w:tcBorders>
            <w:vAlign w:val="bottom"/>
          </w:tcPr>
          <w:p w14:paraId="24A6A72D" w14:textId="51789F28" w:rsidR="00A97FB3" w:rsidRPr="00EF0F48" w:rsidRDefault="00A97FB3" w:rsidP="00EF0F48">
            <w:pPr>
              <w:jc w:val="center"/>
              <w:rPr>
                <w:rFonts w:cs="Arial"/>
                <w:szCs w:val="24"/>
              </w:rPr>
            </w:pPr>
            <w:r w:rsidRPr="00EF0F48">
              <w:rPr>
                <w:rFonts w:cs="Arial"/>
                <w:color w:val="000000"/>
                <w:szCs w:val="24"/>
              </w:rPr>
              <w:t>1236</w:t>
            </w:r>
          </w:p>
        </w:tc>
        <w:tc>
          <w:tcPr>
            <w:tcW w:w="2125" w:type="dxa"/>
            <w:tcBorders>
              <w:bottom w:val="double" w:sz="4" w:space="0" w:color="auto"/>
            </w:tcBorders>
            <w:vAlign w:val="bottom"/>
          </w:tcPr>
          <w:p w14:paraId="28681D0D" w14:textId="1B7EA1E4" w:rsidR="00A97FB3" w:rsidRPr="00EF0F48" w:rsidRDefault="00A97FB3" w:rsidP="00EF0F48">
            <w:pPr>
              <w:jc w:val="center"/>
              <w:rPr>
                <w:rFonts w:cs="Arial"/>
                <w:szCs w:val="24"/>
              </w:rPr>
            </w:pPr>
            <w:r w:rsidRPr="00EF0F48">
              <w:rPr>
                <w:rFonts w:cs="Arial"/>
                <w:color w:val="000000"/>
                <w:szCs w:val="24"/>
              </w:rPr>
              <w:t>53%</w:t>
            </w:r>
          </w:p>
        </w:tc>
      </w:tr>
      <w:tr w:rsidR="00A97FB3" w14:paraId="3372BEA9" w14:textId="77777777" w:rsidTr="00EF0F48">
        <w:tc>
          <w:tcPr>
            <w:tcW w:w="2124" w:type="dxa"/>
            <w:tcBorders>
              <w:top w:val="double" w:sz="4" w:space="0" w:color="auto"/>
            </w:tcBorders>
            <w:vAlign w:val="bottom"/>
          </w:tcPr>
          <w:p w14:paraId="610EAE7B" w14:textId="641571EE" w:rsidR="00A97FB3" w:rsidRPr="00EF0F48" w:rsidRDefault="00A97FB3" w:rsidP="00A97FB3">
            <w:pPr>
              <w:rPr>
                <w:rFonts w:cs="Arial"/>
                <w:szCs w:val="24"/>
              </w:rPr>
            </w:pPr>
            <w:r w:rsidRPr="00EF0F48">
              <w:rPr>
                <w:rFonts w:cs="Arial"/>
                <w:color w:val="000000"/>
                <w:szCs w:val="24"/>
              </w:rPr>
              <w:t>Total</w:t>
            </w:r>
          </w:p>
        </w:tc>
        <w:tc>
          <w:tcPr>
            <w:tcW w:w="2124" w:type="dxa"/>
            <w:tcBorders>
              <w:top w:val="double" w:sz="4" w:space="0" w:color="auto"/>
            </w:tcBorders>
            <w:vAlign w:val="bottom"/>
          </w:tcPr>
          <w:p w14:paraId="0B489E85" w14:textId="25C0A9F4" w:rsidR="00A97FB3" w:rsidRPr="00EF0F48" w:rsidRDefault="00A97FB3" w:rsidP="00A97FB3">
            <w:pPr>
              <w:rPr>
                <w:rFonts w:cs="Arial"/>
                <w:szCs w:val="24"/>
              </w:rPr>
            </w:pPr>
            <w:r w:rsidRPr="00EF0F48">
              <w:rPr>
                <w:rFonts w:cs="Arial"/>
                <w:color w:val="000000"/>
                <w:szCs w:val="24"/>
              </w:rPr>
              <w:t>All</w:t>
            </w:r>
          </w:p>
        </w:tc>
        <w:tc>
          <w:tcPr>
            <w:tcW w:w="2124" w:type="dxa"/>
            <w:tcBorders>
              <w:top w:val="double" w:sz="4" w:space="0" w:color="auto"/>
            </w:tcBorders>
            <w:vAlign w:val="bottom"/>
          </w:tcPr>
          <w:p w14:paraId="7BF61520" w14:textId="6B44BE18" w:rsidR="00A97FB3" w:rsidRPr="00EF0F48" w:rsidRDefault="00A97FB3" w:rsidP="00EF0F48">
            <w:pPr>
              <w:jc w:val="center"/>
              <w:rPr>
                <w:rFonts w:cs="Arial"/>
                <w:szCs w:val="24"/>
              </w:rPr>
            </w:pPr>
            <w:r w:rsidRPr="00EF0F48">
              <w:rPr>
                <w:rFonts w:cs="Arial"/>
                <w:color w:val="000000"/>
                <w:szCs w:val="24"/>
              </w:rPr>
              <w:t>5084</w:t>
            </w:r>
          </w:p>
        </w:tc>
        <w:tc>
          <w:tcPr>
            <w:tcW w:w="2124" w:type="dxa"/>
            <w:tcBorders>
              <w:top w:val="double" w:sz="4" w:space="0" w:color="auto"/>
            </w:tcBorders>
            <w:vAlign w:val="bottom"/>
          </w:tcPr>
          <w:p w14:paraId="2A957166" w14:textId="473D915C" w:rsidR="00A97FB3" w:rsidRPr="00EF0F48" w:rsidRDefault="00A97FB3" w:rsidP="00EF0F48">
            <w:pPr>
              <w:jc w:val="center"/>
              <w:rPr>
                <w:rFonts w:cs="Arial"/>
                <w:szCs w:val="24"/>
              </w:rPr>
            </w:pPr>
            <w:r w:rsidRPr="00EF0F48">
              <w:rPr>
                <w:rFonts w:cs="Arial"/>
                <w:color w:val="000000"/>
                <w:szCs w:val="24"/>
              </w:rPr>
              <w:t>6675</w:t>
            </w:r>
          </w:p>
        </w:tc>
        <w:tc>
          <w:tcPr>
            <w:tcW w:w="2125" w:type="dxa"/>
            <w:tcBorders>
              <w:top w:val="double" w:sz="4" w:space="0" w:color="auto"/>
            </w:tcBorders>
            <w:vAlign w:val="bottom"/>
          </w:tcPr>
          <w:p w14:paraId="422C2ACC" w14:textId="1FFE4CF7" w:rsidR="00A97FB3" w:rsidRPr="00EF0F48" w:rsidRDefault="00A97FB3" w:rsidP="00EF0F48">
            <w:pPr>
              <w:jc w:val="center"/>
              <w:rPr>
                <w:rFonts w:cs="Arial"/>
                <w:szCs w:val="24"/>
              </w:rPr>
            </w:pPr>
            <w:r w:rsidRPr="00EF0F48">
              <w:rPr>
                <w:rFonts w:cs="Arial"/>
                <w:color w:val="000000"/>
                <w:szCs w:val="24"/>
              </w:rPr>
              <w:t>31%</w:t>
            </w:r>
          </w:p>
        </w:tc>
      </w:tr>
    </w:tbl>
    <w:p w14:paraId="07C9C03C" w14:textId="77777777" w:rsidR="00A97FB3" w:rsidRDefault="00A97FB3" w:rsidP="00B83A8A"/>
    <w:p w14:paraId="17F96897" w14:textId="55CDB626" w:rsidR="00795FF9" w:rsidRDefault="00B83A8A" w:rsidP="00B83A8A">
      <w:r>
        <w:t xml:space="preserve">In terms of </w:t>
      </w:r>
      <w:r w:rsidR="00ED5CFD">
        <w:t xml:space="preserve">planning SEND </w:t>
      </w:r>
      <w:r>
        <w:t xml:space="preserve">provision, Surrey is divided into four quadrants: North East, North West, South East and South West of the county. Special schools in Surrey, as in other local authorities, do </w:t>
      </w:r>
      <w:r>
        <w:lastRenderedPageBreak/>
        <w:t xml:space="preserve">not just meet the needs of learners in the immediate surrounding areas within a district. Across the North West of Surrey, there is a potential shortfall of </w:t>
      </w:r>
      <w:r w:rsidR="00844FEE">
        <w:t>1</w:t>
      </w:r>
      <w:r w:rsidR="00795FF9">
        <w:t>34</w:t>
      </w:r>
      <w:r w:rsidR="00D144EC">
        <w:t xml:space="preserve"> </w:t>
      </w:r>
      <w:r w:rsidR="00B34ACA">
        <w:t>s</w:t>
      </w:r>
      <w:r w:rsidR="00D144EC">
        <w:t xml:space="preserve">pecial </w:t>
      </w:r>
      <w:r w:rsidR="00B34ACA">
        <w:t>s</w:t>
      </w:r>
      <w:r w:rsidR="00D144EC">
        <w:t>chool</w:t>
      </w:r>
      <w:r>
        <w:t xml:space="preserve"> places</w:t>
      </w:r>
      <w:r w:rsidR="005F080E">
        <w:t xml:space="preserve"> </w:t>
      </w:r>
      <w:r>
        <w:t>for</w:t>
      </w:r>
      <w:r w:rsidR="00D144EC">
        <w:t xml:space="preserve"> </w:t>
      </w:r>
      <w:r w:rsidR="00B34ACA">
        <w:t xml:space="preserve">autistic </w:t>
      </w:r>
      <w:r w:rsidR="00D144EC">
        <w:t xml:space="preserve">pupils </w:t>
      </w:r>
      <w:r w:rsidR="00B34ACA">
        <w:t xml:space="preserve">and those </w:t>
      </w:r>
      <w:r w:rsidR="00D144EC">
        <w:t>with</w:t>
      </w:r>
      <w:r>
        <w:t xml:space="preserve"> </w:t>
      </w:r>
      <w:r w:rsidR="00194852">
        <w:t xml:space="preserve">Communication &amp; Interaction needs </w:t>
      </w:r>
      <w:r>
        <w:t xml:space="preserve">in 2024/25. </w:t>
      </w:r>
    </w:p>
    <w:p w14:paraId="44B67B62" w14:textId="73EA6304" w:rsidR="00795FF9" w:rsidRDefault="00795FF9" w:rsidP="00B83A8A"/>
    <w:tbl>
      <w:tblPr>
        <w:tblStyle w:val="TableGrid"/>
        <w:tblW w:w="0" w:type="auto"/>
        <w:tblLook w:val="04A0" w:firstRow="1" w:lastRow="0" w:firstColumn="1" w:lastColumn="0" w:noHBand="0" w:noVBand="1"/>
        <w:tblCaption w:val="Table 2"/>
        <w:tblDescription w:val="Table shows a shortfall of places - 52 at primary, 73 at secondary and 9 at post 16. Total shortfall is 134."/>
      </w:tblPr>
      <w:tblGrid>
        <w:gridCol w:w="2124"/>
        <w:gridCol w:w="2124"/>
        <w:gridCol w:w="2124"/>
        <w:gridCol w:w="2124"/>
        <w:gridCol w:w="2125"/>
      </w:tblGrid>
      <w:tr w:rsidR="00795FF9" w14:paraId="4F744A17" w14:textId="77777777" w:rsidTr="00574010">
        <w:tc>
          <w:tcPr>
            <w:tcW w:w="2124" w:type="dxa"/>
            <w:shd w:val="clear" w:color="auto" w:fill="auto"/>
          </w:tcPr>
          <w:p w14:paraId="0A2CFAE1" w14:textId="088A4899" w:rsidR="00795FF9" w:rsidRPr="00EF0F48" w:rsidRDefault="00795FF9" w:rsidP="00EF0F48">
            <w:pPr>
              <w:jc w:val="center"/>
              <w:rPr>
                <w:b/>
                <w:bCs/>
              </w:rPr>
            </w:pPr>
            <w:r w:rsidRPr="00EF0F48">
              <w:rPr>
                <w:b/>
                <w:bCs/>
              </w:rPr>
              <w:t>Phase</w:t>
            </w:r>
          </w:p>
        </w:tc>
        <w:tc>
          <w:tcPr>
            <w:tcW w:w="2124" w:type="dxa"/>
            <w:shd w:val="clear" w:color="auto" w:fill="auto"/>
          </w:tcPr>
          <w:p w14:paraId="7AA1471A" w14:textId="213785A9" w:rsidR="00795FF9" w:rsidRPr="00EF0F48" w:rsidRDefault="00795FF9" w:rsidP="00EF0F48">
            <w:pPr>
              <w:jc w:val="center"/>
              <w:rPr>
                <w:b/>
                <w:bCs/>
              </w:rPr>
            </w:pPr>
            <w:r w:rsidRPr="00EF0F48">
              <w:rPr>
                <w:b/>
                <w:bCs/>
              </w:rPr>
              <w:t>Primary</w:t>
            </w:r>
          </w:p>
        </w:tc>
        <w:tc>
          <w:tcPr>
            <w:tcW w:w="2124" w:type="dxa"/>
            <w:shd w:val="clear" w:color="auto" w:fill="auto"/>
          </w:tcPr>
          <w:p w14:paraId="1831A796" w14:textId="46ADFEA3" w:rsidR="00795FF9" w:rsidRPr="00EF0F48" w:rsidRDefault="00795FF9" w:rsidP="00EF0F48">
            <w:pPr>
              <w:jc w:val="center"/>
              <w:rPr>
                <w:b/>
                <w:bCs/>
              </w:rPr>
            </w:pPr>
            <w:r w:rsidRPr="00EF0F48">
              <w:rPr>
                <w:b/>
                <w:bCs/>
              </w:rPr>
              <w:t>Secondary</w:t>
            </w:r>
          </w:p>
        </w:tc>
        <w:tc>
          <w:tcPr>
            <w:tcW w:w="2124" w:type="dxa"/>
            <w:shd w:val="clear" w:color="auto" w:fill="auto"/>
          </w:tcPr>
          <w:p w14:paraId="43F6D1C6" w14:textId="50D4E2DA" w:rsidR="00795FF9" w:rsidRPr="00EF0F48" w:rsidRDefault="00795FF9" w:rsidP="00EF0F48">
            <w:pPr>
              <w:jc w:val="center"/>
              <w:rPr>
                <w:b/>
                <w:bCs/>
              </w:rPr>
            </w:pPr>
            <w:r w:rsidRPr="00EF0F48">
              <w:rPr>
                <w:b/>
                <w:bCs/>
              </w:rPr>
              <w:t>Post-16</w:t>
            </w:r>
          </w:p>
        </w:tc>
        <w:tc>
          <w:tcPr>
            <w:tcW w:w="2125" w:type="dxa"/>
            <w:shd w:val="clear" w:color="auto" w:fill="auto"/>
          </w:tcPr>
          <w:p w14:paraId="6EDA802E" w14:textId="7A0AD54B" w:rsidR="00795FF9" w:rsidRPr="00EF0F48" w:rsidRDefault="00795FF9" w:rsidP="00EF0F48">
            <w:pPr>
              <w:jc w:val="center"/>
              <w:rPr>
                <w:b/>
                <w:bCs/>
              </w:rPr>
            </w:pPr>
            <w:r w:rsidRPr="00EF0F48">
              <w:rPr>
                <w:b/>
                <w:bCs/>
              </w:rPr>
              <w:t>Total</w:t>
            </w:r>
          </w:p>
        </w:tc>
      </w:tr>
      <w:tr w:rsidR="00795FF9" w14:paraId="0F228EB6" w14:textId="77777777" w:rsidTr="00EF0F48">
        <w:tc>
          <w:tcPr>
            <w:tcW w:w="2124" w:type="dxa"/>
          </w:tcPr>
          <w:p w14:paraId="3B4B250E" w14:textId="3B1E9245" w:rsidR="00795FF9" w:rsidRDefault="00795FF9" w:rsidP="00795FF9">
            <w:r>
              <w:t>Potential Shortfall</w:t>
            </w:r>
          </w:p>
        </w:tc>
        <w:tc>
          <w:tcPr>
            <w:tcW w:w="2124" w:type="dxa"/>
            <w:vAlign w:val="bottom"/>
          </w:tcPr>
          <w:p w14:paraId="4CD9559D" w14:textId="31DC44B9" w:rsidR="00795FF9" w:rsidRDefault="00795FF9" w:rsidP="00EF0F48">
            <w:pPr>
              <w:jc w:val="center"/>
            </w:pPr>
            <w:r w:rsidRPr="00EF0F48">
              <w:t>52</w:t>
            </w:r>
          </w:p>
        </w:tc>
        <w:tc>
          <w:tcPr>
            <w:tcW w:w="2124" w:type="dxa"/>
            <w:vAlign w:val="bottom"/>
          </w:tcPr>
          <w:p w14:paraId="48B64578" w14:textId="6A453091" w:rsidR="00795FF9" w:rsidRDefault="00795FF9" w:rsidP="00EF0F48">
            <w:pPr>
              <w:jc w:val="center"/>
            </w:pPr>
            <w:r w:rsidRPr="00EF0F48">
              <w:t>73</w:t>
            </w:r>
          </w:p>
        </w:tc>
        <w:tc>
          <w:tcPr>
            <w:tcW w:w="2124" w:type="dxa"/>
            <w:vAlign w:val="bottom"/>
          </w:tcPr>
          <w:p w14:paraId="1393F9D8" w14:textId="7B650FD3" w:rsidR="00795FF9" w:rsidRDefault="00795FF9" w:rsidP="00EF0F48">
            <w:pPr>
              <w:jc w:val="center"/>
            </w:pPr>
            <w:r w:rsidRPr="00EF0F48">
              <w:t>9</w:t>
            </w:r>
          </w:p>
        </w:tc>
        <w:tc>
          <w:tcPr>
            <w:tcW w:w="2125" w:type="dxa"/>
            <w:vAlign w:val="bottom"/>
          </w:tcPr>
          <w:p w14:paraId="2EE48081" w14:textId="6F1D1A18" w:rsidR="00795FF9" w:rsidRDefault="00795FF9" w:rsidP="00EF0F48">
            <w:pPr>
              <w:jc w:val="center"/>
            </w:pPr>
            <w:r w:rsidRPr="00EF0F48">
              <w:t>134</w:t>
            </w:r>
          </w:p>
        </w:tc>
      </w:tr>
    </w:tbl>
    <w:p w14:paraId="7C1CB220" w14:textId="77777777" w:rsidR="00795FF9" w:rsidRDefault="00795FF9" w:rsidP="00B83A8A"/>
    <w:p w14:paraId="1D3EDA85" w14:textId="27A83C44" w:rsidR="00B83A8A" w:rsidRDefault="00B83A8A" w:rsidP="00B83A8A">
      <w:r>
        <w:t>If places are not delivered and projected growth continues in line with current trends, there will not be sufficient places to meet demand</w:t>
      </w:r>
      <w:r w:rsidR="00D144EC">
        <w:t xml:space="preserve"> in the long term</w:t>
      </w:r>
      <w:r>
        <w:t>.</w:t>
      </w:r>
      <w:r w:rsidR="00D144EC">
        <w:t xml:space="preserve"> The impact of this would create sustained </w:t>
      </w:r>
      <w:r w:rsidR="00D144EC" w:rsidRPr="00D144EC">
        <w:t>over-reliance on the independent school sector and out of county placements, which frequently also involves excessive home to school travel distances for EHCP pupils outside of resident districts and boroughs.</w:t>
      </w:r>
    </w:p>
    <w:p w14:paraId="367A9B84" w14:textId="77777777" w:rsidR="00B83A8A" w:rsidRDefault="00B83A8A" w:rsidP="00B83A8A"/>
    <w:p w14:paraId="69490FA6" w14:textId="3FEEA735" w:rsidR="001E1A26" w:rsidRDefault="00B83A8A" w:rsidP="00B83A8A">
      <w:r>
        <w:t xml:space="preserve">Projections also show increases in demand </w:t>
      </w:r>
      <w:r w:rsidR="00D144EC">
        <w:t>from</w:t>
      </w:r>
      <w:r w:rsidR="00AC2459">
        <w:t xml:space="preserve"> the</w:t>
      </w:r>
      <w:r>
        <w:t xml:space="preserve"> neighbouring </w:t>
      </w:r>
      <w:r w:rsidR="001E1A26">
        <w:t xml:space="preserve">North East </w:t>
      </w:r>
      <w:r>
        <w:t>quadrant</w:t>
      </w:r>
      <w:r w:rsidR="001E1A26">
        <w:t xml:space="preserve"> of the county</w:t>
      </w:r>
      <w:r w:rsidR="003B48AC">
        <w:t xml:space="preserve"> with about 25% growth projected by 2024/25</w:t>
      </w:r>
      <w:r w:rsidR="001E1A26">
        <w:t xml:space="preserve">. </w:t>
      </w:r>
      <w:r w:rsidR="00AC2459">
        <w:t>Whilst the site that</w:t>
      </w:r>
      <w:r w:rsidR="001E1A26">
        <w:t xml:space="preserve"> has been identified as the permanent location for the proposed new Special School</w:t>
      </w:r>
      <w:r w:rsidR="00D97977">
        <w:t xml:space="preserve"> is in</w:t>
      </w:r>
      <w:r w:rsidR="00B34ACA">
        <w:t xml:space="preserve"> Elmbridge</w:t>
      </w:r>
      <w:r w:rsidR="00D97977">
        <w:t xml:space="preserve"> the North East</w:t>
      </w:r>
      <w:r w:rsidR="001E1A26">
        <w:t xml:space="preserve">, it is </w:t>
      </w:r>
      <w:r w:rsidR="00D97977">
        <w:t>expected</w:t>
      </w:r>
      <w:r w:rsidR="001E1A26">
        <w:t xml:space="preserve"> that </w:t>
      </w:r>
      <w:r w:rsidR="00D97977">
        <w:t>much</w:t>
      </w:r>
      <w:r w:rsidR="001E1A26">
        <w:t xml:space="preserve"> of the demand from </w:t>
      </w:r>
      <w:r w:rsidR="00D97977">
        <w:t>the North West</w:t>
      </w:r>
      <w:r w:rsidR="001E1A26">
        <w:t xml:space="preserve"> will </w:t>
      </w:r>
      <w:r w:rsidR="00B34ACA">
        <w:t xml:space="preserve">also </w:t>
      </w:r>
      <w:r w:rsidR="001E1A26">
        <w:t xml:space="preserve">be met by the proposed Special Free School. </w:t>
      </w:r>
      <w:r w:rsidR="00D97977">
        <w:t xml:space="preserve">It’s location makes it highly likely that some demand from other neighbouring areas will also be met. </w:t>
      </w:r>
    </w:p>
    <w:p w14:paraId="604DCE05" w14:textId="77777777" w:rsidR="001E1A26" w:rsidRDefault="001E1A26" w:rsidP="00B83A8A"/>
    <w:p w14:paraId="13DEE7E6" w14:textId="2C5A84E6" w:rsidR="00B83A8A" w:rsidRDefault="001E1A26" w:rsidP="00B83A8A">
      <w:r>
        <w:t>As is the case locally as well as nationally, t</w:t>
      </w:r>
      <w:r w:rsidR="00B83A8A">
        <w:t xml:space="preserve">he new school is therefore likely to admit pupils </w:t>
      </w:r>
      <w:r>
        <w:t xml:space="preserve">from </w:t>
      </w:r>
      <w:r w:rsidR="00B83A8A">
        <w:t>outside of the immediate surrounding area and, as such, will serve a wider community based on need-type</w:t>
      </w:r>
      <w:r w:rsidR="002D16B3">
        <w:t xml:space="preserve">, geographical </w:t>
      </w:r>
      <w:r w:rsidR="00D312D2">
        <w:t>location,</w:t>
      </w:r>
      <w:r w:rsidR="00B83A8A">
        <w:t xml:space="preserve"> and phase of education.</w:t>
      </w:r>
      <w:r>
        <w:t xml:space="preserve"> </w:t>
      </w:r>
      <w:r w:rsidR="00B83A8A" w:rsidRPr="00B83A8A">
        <w:t xml:space="preserve">In addition to growing demand, it is helpful to consider existing access to provision. </w:t>
      </w:r>
      <w:r w:rsidR="00B83A8A" w:rsidRPr="00F47AB6">
        <w:t xml:space="preserve">Data from 2020/21 shows that of 955 </w:t>
      </w:r>
      <w:r w:rsidR="00B34ACA">
        <w:t xml:space="preserve">Surrey resident </w:t>
      </w:r>
      <w:r w:rsidR="00B83A8A" w:rsidRPr="00F47AB6">
        <w:t>special school pupils w</w:t>
      </w:r>
      <w:r w:rsidR="00EC1B8F">
        <w:t xml:space="preserve">ho are autistic or have </w:t>
      </w:r>
      <w:r w:rsidR="00194852" w:rsidRPr="00F47AB6">
        <w:t xml:space="preserve">Communication &amp; Interaction needs </w:t>
      </w:r>
      <w:r w:rsidR="00B83A8A" w:rsidRPr="00F47AB6">
        <w:t xml:space="preserve">living in the </w:t>
      </w:r>
      <w:r w:rsidR="00F47AB6" w:rsidRPr="00F47AB6">
        <w:t>northern</w:t>
      </w:r>
      <w:r w:rsidR="00B83A8A" w:rsidRPr="00F47AB6">
        <w:t xml:space="preserve"> Quadrants of Surrey, </w:t>
      </w:r>
      <w:r w:rsidR="00F47AB6" w:rsidRPr="00F47AB6">
        <w:t>782</w:t>
      </w:r>
      <w:r w:rsidR="00B83A8A" w:rsidRPr="00F47AB6">
        <w:t xml:space="preserve"> (</w:t>
      </w:r>
      <w:r w:rsidR="00F47AB6" w:rsidRPr="00F47AB6">
        <w:t>82</w:t>
      </w:r>
      <w:r w:rsidR="00B83A8A" w:rsidRPr="00F47AB6">
        <w:t xml:space="preserve">%) were not educated in their home district. Furthermore, </w:t>
      </w:r>
      <w:r w:rsidR="00F47AB6" w:rsidRPr="00F47AB6">
        <w:t>633</w:t>
      </w:r>
      <w:r w:rsidR="00B83A8A" w:rsidRPr="00F47AB6">
        <w:t xml:space="preserve"> (</w:t>
      </w:r>
      <w:r w:rsidR="00F47AB6" w:rsidRPr="00F47AB6">
        <w:t>66</w:t>
      </w:r>
      <w:r w:rsidR="00B83A8A" w:rsidRPr="00F47AB6">
        <w:t xml:space="preserve">%) pupils attended schools in other </w:t>
      </w:r>
      <w:r w:rsidR="00EF0F48" w:rsidRPr="00F47AB6">
        <w:t>Quadrants.</w:t>
      </w:r>
    </w:p>
    <w:p w14:paraId="0C9A678B" w14:textId="613A1277" w:rsidR="00EF0F48" w:rsidRDefault="00EF0F48" w:rsidP="00B83A8A"/>
    <w:p w14:paraId="0BE33C5F" w14:textId="77777777" w:rsidR="00EF0F48" w:rsidRDefault="00EF0F48" w:rsidP="00B83A8A"/>
    <w:p w14:paraId="31E5603E" w14:textId="47AA0184" w:rsidR="00EF0F48" w:rsidRDefault="00EF0F48" w:rsidP="00B83A8A"/>
    <w:tbl>
      <w:tblPr>
        <w:tblStyle w:val="TableGrid"/>
        <w:tblW w:w="0" w:type="auto"/>
        <w:tblLook w:val="04A0" w:firstRow="1" w:lastRow="0" w:firstColumn="1" w:lastColumn="0" w:noHBand="0" w:noVBand="1"/>
        <w:tblCaption w:val="Table 3"/>
        <w:tblDescription w:val="This shows the number of autistic children in the north of the county at special schools. It shows only 18 percent attend a school in their own district and 66 percent are educated outside of their own quadrant entirely."/>
      </w:tblPr>
      <w:tblGrid>
        <w:gridCol w:w="1444"/>
        <w:gridCol w:w="2291"/>
        <w:gridCol w:w="2296"/>
        <w:gridCol w:w="2295"/>
        <w:gridCol w:w="2295"/>
      </w:tblGrid>
      <w:tr w:rsidR="000E46B8" w14:paraId="3FCEE613" w14:textId="77777777" w:rsidTr="00574010">
        <w:tc>
          <w:tcPr>
            <w:tcW w:w="1417" w:type="dxa"/>
            <w:shd w:val="clear" w:color="auto" w:fill="auto"/>
            <w:vAlign w:val="bottom"/>
          </w:tcPr>
          <w:p w14:paraId="49EA9D3B" w14:textId="031575A3" w:rsidR="00EF0F48" w:rsidRPr="00EF0F48" w:rsidRDefault="00EF0F48" w:rsidP="00EF0F48">
            <w:pPr>
              <w:jc w:val="center"/>
              <w:rPr>
                <w:b/>
                <w:bCs/>
              </w:rPr>
            </w:pPr>
            <w:r>
              <w:rPr>
                <w:b/>
                <w:bCs/>
              </w:rPr>
              <w:t>Northern Quadrants</w:t>
            </w:r>
          </w:p>
        </w:tc>
        <w:tc>
          <w:tcPr>
            <w:tcW w:w="2301" w:type="dxa"/>
            <w:shd w:val="clear" w:color="auto" w:fill="auto"/>
            <w:vAlign w:val="bottom"/>
          </w:tcPr>
          <w:p w14:paraId="489ECA28" w14:textId="2CD57B55" w:rsidR="00EF0F48" w:rsidRPr="00EF0F48" w:rsidRDefault="00EF0F48" w:rsidP="00EF0F48">
            <w:pPr>
              <w:jc w:val="center"/>
              <w:rPr>
                <w:rFonts w:cs="Arial"/>
                <w:b/>
                <w:bCs/>
                <w:szCs w:val="24"/>
              </w:rPr>
            </w:pPr>
            <w:r w:rsidRPr="00EF0F48">
              <w:rPr>
                <w:rFonts w:cs="Arial"/>
                <w:b/>
                <w:bCs/>
                <w:color w:val="000000"/>
                <w:szCs w:val="24"/>
              </w:rPr>
              <w:t>Total</w:t>
            </w:r>
          </w:p>
        </w:tc>
        <w:tc>
          <w:tcPr>
            <w:tcW w:w="2301" w:type="dxa"/>
            <w:shd w:val="clear" w:color="auto" w:fill="auto"/>
            <w:vAlign w:val="bottom"/>
          </w:tcPr>
          <w:p w14:paraId="0EBE45B0" w14:textId="5E192967" w:rsidR="00EF0F48" w:rsidRPr="00EF0F48" w:rsidRDefault="00D312D2" w:rsidP="00EF0F48">
            <w:pPr>
              <w:jc w:val="center"/>
              <w:rPr>
                <w:rFonts w:cs="Arial"/>
                <w:b/>
                <w:bCs/>
                <w:szCs w:val="24"/>
              </w:rPr>
            </w:pPr>
            <w:r>
              <w:rPr>
                <w:rFonts w:cs="Arial"/>
                <w:b/>
                <w:bCs/>
                <w:color w:val="000000"/>
                <w:szCs w:val="24"/>
              </w:rPr>
              <w:t>Educated</w:t>
            </w:r>
            <w:r w:rsidR="00EF0F48" w:rsidRPr="00EF0F48">
              <w:rPr>
                <w:rFonts w:cs="Arial"/>
                <w:b/>
                <w:bCs/>
                <w:color w:val="000000"/>
                <w:szCs w:val="24"/>
              </w:rPr>
              <w:t xml:space="preserve"> in </w:t>
            </w:r>
            <w:r>
              <w:rPr>
                <w:rFonts w:cs="Arial"/>
                <w:b/>
                <w:bCs/>
                <w:color w:val="000000"/>
                <w:szCs w:val="24"/>
              </w:rPr>
              <w:t xml:space="preserve">Residential </w:t>
            </w:r>
            <w:r w:rsidR="00EF0F48" w:rsidRPr="00EF0F48">
              <w:rPr>
                <w:rFonts w:cs="Arial"/>
                <w:b/>
                <w:bCs/>
                <w:color w:val="000000"/>
                <w:szCs w:val="24"/>
              </w:rPr>
              <w:t>District</w:t>
            </w:r>
            <w:r>
              <w:rPr>
                <w:rFonts w:cs="Arial"/>
                <w:b/>
                <w:bCs/>
                <w:color w:val="000000"/>
                <w:szCs w:val="24"/>
              </w:rPr>
              <w:t xml:space="preserve"> or Borough</w:t>
            </w:r>
          </w:p>
        </w:tc>
        <w:tc>
          <w:tcPr>
            <w:tcW w:w="2301" w:type="dxa"/>
            <w:shd w:val="clear" w:color="auto" w:fill="auto"/>
            <w:vAlign w:val="bottom"/>
          </w:tcPr>
          <w:p w14:paraId="34842CA8" w14:textId="50FDCAAC" w:rsidR="00EF0F48" w:rsidRPr="00EF0F48" w:rsidRDefault="00D312D2" w:rsidP="00EF0F48">
            <w:pPr>
              <w:jc w:val="center"/>
              <w:rPr>
                <w:rFonts w:cs="Arial"/>
                <w:b/>
                <w:bCs/>
                <w:szCs w:val="24"/>
              </w:rPr>
            </w:pPr>
            <w:r>
              <w:rPr>
                <w:rFonts w:cs="Arial"/>
                <w:b/>
                <w:bCs/>
                <w:color w:val="000000"/>
                <w:szCs w:val="24"/>
              </w:rPr>
              <w:t>Educated e</w:t>
            </w:r>
            <w:r w:rsidR="00EF0F48" w:rsidRPr="00EF0F48">
              <w:rPr>
                <w:rFonts w:cs="Arial"/>
                <w:b/>
                <w:bCs/>
                <w:color w:val="000000"/>
                <w:szCs w:val="24"/>
              </w:rPr>
              <w:t>lsewhere in Quadrant</w:t>
            </w:r>
          </w:p>
        </w:tc>
        <w:tc>
          <w:tcPr>
            <w:tcW w:w="2301" w:type="dxa"/>
            <w:shd w:val="clear" w:color="auto" w:fill="auto"/>
            <w:vAlign w:val="bottom"/>
          </w:tcPr>
          <w:p w14:paraId="4DB1F9F4" w14:textId="3354FA75" w:rsidR="00EF0F48" w:rsidRPr="00EF0F48" w:rsidRDefault="00D312D2" w:rsidP="00EF0F48">
            <w:pPr>
              <w:jc w:val="center"/>
              <w:rPr>
                <w:rFonts w:cs="Arial"/>
                <w:b/>
                <w:bCs/>
                <w:szCs w:val="24"/>
              </w:rPr>
            </w:pPr>
            <w:r>
              <w:rPr>
                <w:rFonts w:cs="Arial"/>
                <w:b/>
                <w:bCs/>
                <w:color w:val="000000"/>
                <w:szCs w:val="24"/>
              </w:rPr>
              <w:t>Educated</w:t>
            </w:r>
            <w:r w:rsidR="00EF0F48" w:rsidRPr="00EF0F48">
              <w:rPr>
                <w:rFonts w:cs="Arial"/>
                <w:b/>
                <w:bCs/>
                <w:color w:val="000000"/>
                <w:szCs w:val="24"/>
              </w:rPr>
              <w:t xml:space="preserve"> </w:t>
            </w:r>
            <w:r>
              <w:rPr>
                <w:rFonts w:cs="Arial"/>
                <w:b/>
                <w:bCs/>
                <w:color w:val="000000"/>
                <w:szCs w:val="24"/>
              </w:rPr>
              <w:t>e</w:t>
            </w:r>
            <w:r w:rsidR="00EF0F48" w:rsidRPr="00EF0F48">
              <w:rPr>
                <w:rFonts w:cs="Arial"/>
                <w:b/>
                <w:bCs/>
                <w:color w:val="000000"/>
                <w:szCs w:val="24"/>
              </w:rPr>
              <w:t>lsewhere in Surrey</w:t>
            </w:r>
          </w:p>
        </w:tc>
      </w:tr>
      <w:tr w:rsidR="000E46B8" w14:paraId="6DF02920" w14:textId="77777777" w:rsidTr="00EF0F48">
        <w:tc>
          <w:tcPr>
            <w:tcW w:w="1417" w:type="dxa"/>
            <w:vAlign w:val="bottom"/>
          </w:tcPr>
          <w:p w14:paraId="7F5D37F9" w14:textId="6BD29684" w:rsidR="00EF0F48" w:rsidRPr="00EF0F48" w:rsidRDefault="00EF0F48" w:rsidP="00EF0F48">
            <w:pPr>
              <w:rPr>
                <w:rFonts w:cs="Arial"/>
                <w:szCs w:val="24"/>
              </w:rPr>
            </w:pPr>
            <w:r w:rsidRPr="00EF0F48">
              <w:rPr>
                <w:rFonts w:cs="Arial"/>
                <w:color w:val="000000"/>
                <w:szCs w:val="24"/>
              </w:rPr>
              <w:t>Pupils</w:t>
            </w:r>
          </w:p>
        </w:tc>
        <w:tc>
          <w:tcPr>
            <w:tcW w:w="2301" w:type="dxa"/>
            <w:vAlign w:val="bottom"/>
          </w:tcPr>
          <w:p w14:paraId="363939D4" w14:textId="08E52484" w:rsidR="00EF0F48" w:rsidRPr="00EF0F48" w:rsidRDefault="00EF0F48" w:rsidP="00EF0F48">
            <w:pPr>
              <w:jc w:val="center"/>
              <w:rPr>
                <w:rFonts w:cs="Arial"/>
                <w:szCs w:val="24"/>
              </w:rPr>
            </w:pPr>
            <w:r w:rsidRPr="00EF0F48">
              <w:rPr>
                <w:rFonts w:cs="Arial"/>
                <w:color w:val="000000"/>
                <w:szCs w:val="24"/>
              </w:rPr>
              <w:t>955</w:t>
            </w:r>
          </w:p>
        </w:tc>
        <w:tc>
          <w:tcPr>
            <w:tcW w:w="2301" w:type="dxa"/>
            <w:vAlign w:val="bottom"/>
          </w:tcPr>
          <w:p w14:paraId="4C6C42EC" w14:textId="59B6986B" w:rsidR="00EF0F48" w:rsidRPr="00EF0F48" w:rsidRDefault="00EF0F48" w:rsidP="00EF0F48">
            <w:pPr>
              <w:jc w:val="center"/>
              <w:rPr>
                <w:rFonts w:cs="Arial"/>
                <w:szCs w:val="24"/>
              </w:rPr>
            </w:pPr>
            <w:r w:rsidRPr="00EF0F48">
              <w:rPr>
                <w:rFonts w:cs="Arial"/>
                <w:color w:val="000000"/>
                <w:szCs w:val="24"/>
              </w:rPr>
              <w:t>173</w:t>
            </w:r>
          </w:p>
        </w:tc>
        <w:tc>
          <w:tcPr>
            <w:tcW w:w="2301" w:type="dxa"/>
            <w:vAlign w:val="bottom"/>
          </w:tcPr>
          <w:p w14:paraId="70502775" w14:textId="4D02311D" w:rsidR="00EF0F48" w:rsidRPr="00EF0F48" w:rsidRDefault="00EF0F48" w:rsidP="00EF0F48">
            <w:pPr>
              <w:jc w:val="center"/>
              <w:rPr>
                <w:rFonts w:cs="Arial"/>
                <w:szCs w:val="24"/>
              </w:rPr>
            </w:pPr>
            <w:r w:rsidRPr="00EF0F48">
              <w:rPr>
                <w:rFonts w:cs="Arial"/>
                <w:color w:val="000000"/>
                <w:szCs w:val="24"/>
              </w:rPr>
              <w:t>149</w:t>
            </w:r>
          </w:p>
        </w:tc>
        <w:tc>
          <w:tcPr>
            <w:tcW w:w="2301" w:type="dxa"/>
            <w:vAlign w:val="bottom"/>
          </w:tcPr>
          <w:p w14:paraId="4E069788" w14:textId="6823031E" w:rsidR="00EF0F48" w:rsidRPr="00EF0F48" w:rsidRDefault="00EF0F48" w:rsidP="00EF0F48">
            <w:pPr>
              <w:jc w:val="center"/>
              <w:rPr>
                <w:rFonts w:cs="Arial"/>
                <w:szCs w:val="24"/>
              </w:rPr>
            </w:pPr>
            <w:r w:rsidRPr="00EF0F48">
              <w:rPr>
                <w:rFonts w:cs="Arial"/>
                <w:color w:val="000000"/>
                <w:szCs w:val="24"/>
              </w:rPr>
              <w:t>633</w:t>
            </w:r>
          </w:p>
        </w:tc>
      </w:tr>
      <w:tr w:rsidR="000E46B8" w14:paraId="72C23A0E" w14:textId="77777777" w:rsidTr="00EF0F48">
        <w:tc>
          <w:tcPr>
            <w:tcW w:w="1417" w:type="dxa"/>
            <w:vAlign w:val="bottom"/>
          </w:tcPr>
          <w:p w14:paraId="31669FF8" w14:textId="223B9115" w:rsidR="00EF0F48" w:rsidRPr="00EF0F48" w:rsidRDefault="00EF0F48" w:rsidP="00EF0F48">
            <w:pPr>
              <w:rPr>
                <w:rFonts w:cs="Arial"/>
                <w:szCs w:val="24"/>
              </w:rPr>
            </w:pPr>
            <w:r w:rsidRPr="00EF0F48">
              <w:rPr>
                <w:rFonts w:cs="Arial"/>
                <w:color w:val="000000"/>
                <w:szCs w:val="24"/>
              </w:rPr>
              <w:t>Percentage</w:t>
            </w:r>
          </w:p>
        </w:tc>
        <w:tc>
          <w:tcPr>
            <w:tcW w:w="2301" w:type="dxa"/>
            <w:vAlign w:val="bottom"/>
          </w:tcPr>
          <w:p w14:paraId="4913C3EF" w14:textId="62399DC8" w:rsidR="00EF0F48" w:rsidRPr="00EF0F48" w:rsidRDefault="00EF0F48" w:rsidP="00EF0F48">
            <w:pPr>
              <w:jc w:val="center"/>
              <w:rPr>
                <w:rFonts w:cs="Arial"/>
                <w:szCs w:val="24"/>
              </w:rPr>
            </w:pPr>
            <w:r w:rsidRPr="00EF0F48">
              <w:rPr>
                <w:rFonts w:cs="Arial"/>
                <w:color w:val="000000"/>
                <w:szCs w:val="24"/>
              </w:rPr>
              <w:t>100%</w:t>
            </w:r>
          </w:p>
        </w:tc>
        <w:tc>
          <w:tcPr>
            <w:tcW w:w="2301" w:type="dxa"/>
            <w:vAlign w:val="bottom"/>
          </w:tcPr>
          <w:p w14:paraId="165095AC" w14:textId="5766E29D" w:rsidR="00EF0F48" w:rsidRPr="00EF0F48" w:rsidRDefault="00EF0F48" w:rsidP="00EF0F48">
            <w:pPr>
              <w:jc w:val="center"/>
              <w:rPr>
                <w:rFonts w:cs="Arial"/>
                <w:szCs w:val="24"/>
              </w:rPr>
            </w:pPr>
            <w:r w:rsidRPr="00EF0F48">
              <w:rPr>
                <w:rFonts w:cs="Arial"/>
                <w:color w:val="000000"/>
                <w:szCs w:val="24"/>
              </w:rPr>
              <w:t>18%</w:t>
            </w:r>
          </w:p>
        </w:tc>
        <w:tc>
          <w:tcPr>
            <w:tcW w:w="2301" w:type="dxa"/>
            <w:vAlign w:val="bottom"/>
          </w:tcPr>
          <w:p w14:paraId="2C8AA5E7" w14:textId="21107C86" w:rsidR="00EF0F48" w:rsidRPr="00EF0F48" w:rsidRDefault="00EF0F48" w:rsidP="00EF0F48">
            <w:pPr>
              <w:jc w:val="center"/>
              <w:rPr>
                <w:rFonts w:cs="Arial"/>
                <w:szCs w:val="24"/>
              </w:rPr>
            </w:pPr>
            <w:r w:rsidRPr="00EF0F48">
              <w:rPr>
                <w:rFonts w:cs="Arial"/>
                <w:color w:val="000000"/>
                <w:szCs w:val="24"/>
              </w:rPr>
              <w:t>16%</w:t>
            </w:r>
          </w:p>
        </w:tc>
        <w:tc>
          <w:tcPr>
            <w:tcW w:w="2301" w:type="dxa"/>
            <w:vAlign w:val="bottom"/>
          </w:tcPr>
          <w:p w14:paraId="5E0B4E28" w14:textId="1085F234" w:rsidR="00EF0F48" w:rsidRPr="00EF0F48" w:rsidRDefault="00EF0F48" w:rsidP="00EF0F48">
            <w:pPr>
              <w:jc w:val="center"/>
              <w:rPr>
                <w:rFonts w:cs="Arial"/>
                <w:szCs w:val="24"/>
              </w:rPr>
            </w:pPr>
            <w:r w:rsidRPr="00EF0F48">
              <w:rPr>
                <w:rFonts w:cs="Arial"/>
                <w:color w:val="000000"/>
                <w:szCs w:val="24"/>
              </w:rPr>
              <w:t>66%</w:t>
            </w:r>
          </w:p>
        </w:tc>
      </w:tr>
    </w:tbl>
    <w:p w14:paraId="6008FA5F" w14:textId="77777777" w:rsidR="00EF0F48" w:rsidRDefault="00EF0F48" w:rsidP="00B83A8A"/>
    <w:p w14:paraId="12883664" w14:textId="238CA46A" w:rsidR="0060254E" w:rsidRPr="00411FA3" w:rsidRDefault="0060254E" w:rsidP="0060254E">
      <w:pPr>
        <w:rPr>
          <w:b/>
          <w:bCs/>
        </w:rPr>
      </w:pPr>
      <w:r>
        <w:t>The authority is therefore seeking proposals from appropriate sponsors to open th</w:t>
      </w:r>
      <w:r w:rsidR="00B34ACA">
        <w:t>e</w:t>
      </w:r>
      <w:r>
        <w:t xml:space="preserve"> new </w:t>
      </w:r>
      <w:r w:rsidR="00EC1B8F">
        <w:t xml:space="preserve">special </w:t>
      </w:r>
      <w:r>
        <w:t>school</w:t>
      </w:r>
      <w:r w:rsidR="00B34ACA">
        <w:t xml:space="preserve"> and this </w:t>
      </w:r>
      <w:r>
        <w:t xml:space="preserve">school would be deemed a free school. Proposers should complete the </w:t>
      </w:r>
      <w:hyperlink r:id="rId16" w:history="1">
        <w:r w:rsidRPr="006C55F7">
          <w:rPr>
            <w:rStyle w:val="Hyperlink"/>
          </w:rPr>
          <w:t>Free School Presumption application form</w:t>
        </w:r>
      </w:hyperlink>
      <w:r>
        <w:t xml:space="preserve"> and return it to</w:t>
      </w:r>
      <w:r w:rsidR="00B83A8A">
        <w:t xml:space="preserve"> </w:t>
      </w:r>
      <w:hyperlink r:id="rId17" w:history="1">
        <w:r w:rsidR="00B83A8A" w:rsidRPr="002A63FE">
          <w:rPr>
            <w:rStyle w:val="Hyperlink"/>
          </w:rPr>
          <w:t>peter.speers@surreycc.gov.uk</w:t>
        </w:r>
      </w:hyperlink>
      <w:r w:rsidR="00B83A8A">
        <w:t xml:space="preserve"> </w:t>
      </w:r>
      <w:r w:rsidR="002D16B3" w:rsidRPr="00411FA3">
        <w:rPr>
          <w:b/>
          <w:bCs/>
        </w:rPr>
        <w:t>for the attention of Emilie Williams-Jones</w:t>
      </w:r>
      <w:r w:rsidRPr="00411FA3">
        <w:rPr>
          <w:b/>
          <w:bCs/>
        </w:rPr>
        <w:t>.</w:t>
      </w:r>
    </w:p>
    <w:p w14:paraId="0E9B45F1" w14:textId="6C831426" w:rsidR="0060254E" w:rsidRDefault="0060254E" w:rsidP="0060254E"/>
    <w:p w14:paraId="7B5EC5CC" w14:textId="13F7D49B" w:rsidR="00B34ACA" w:rsidRDefault="007D6294" w:rsidP="00B34ACA">
      <w:pPr>
        <w:spacing w:after="200" w:line="276" w:lineRule="auto"/>
      </w:pPr>
      <w:r>
        <w:t xml:space="preserve">The proposal is for the school to open to pupils in September 2024. There are many steps to take to get to that point including further periods of consultation once a sponsor has been selected; however, the key milestones of most </w:t>
      </w:r>
      <w:r w:rsidR="002D16B3">
        <w:t>relevance</w:t>
      </w:r>
      <w:r>
        <w:t xml:space="preserve"> are as follows:</w:t>
      </w:r>
    </w:p>
    <w:p w14:paraId="25A3EE57" w14:textId="77777777" w:rsidR="00B34ACA" w:rsidRDefault="00B34ACA">
      <w:pPr>
        <w:spacing w:after="200" w:line="276" w:lineRule="auto"/>
      </w:pPr>
      <w:r>
        <w:br w:type="page"/>
      </w:r>
    </w:p>
    <w:p w14:paraId="59119E6E" w14:textId="77777777" w:rsidR="007D6294" w:rsidRDefault="007D6294" w:rsidP="00B34ACA">
      <w:pPr>
        <w:spacing w:after="200" w:line="276" w:lineRule="auto"/>
      </w:pPr>
    </w:p>
    <w:p w14:paraId="4949F2D3" w14:textId="34F572AD" w:rsidR="001569DC" w:rsidRDefault="001569DC" w:rsidP="007D6294"/>
    <w:tbl>
      <w:tblPr>
        <w:tblStyle w:val="TableGrid"/>
        <w:tblW w:w="0" w:type="auto"/>
        <w:tblLook w:val="04A0" w:firstRow="1" w:lastRow="0" w:firstColumn="1" w:lastColumn="0" w:noHBand="0" w:noVBand="1"/>
        <w:tblCaption w:val="Table 4"/>
        <w:tblDescription w:val="This shows key dates for securing a sponsor. Prospective sponsors have until 29 May 2022 to submit a bid. A sponsor should be chosen in July 2022."/>
      </w:tblPr>
      <w:tblGrid>
        <w:gridCol w:w="4673"/>
        <w:gridCol w:w="5948"/>
      </w:tblGrid>
      <w:tr w:rsidR="001569DC" w14:paraId="6EF6FE6F" w14:textId="77777777" w:rsidTr="00574010">
        <w:tc>
          <w:tcPr>
            <w:tcW w:w="4673" w:type="dxa"/>
            <w:shd w:val="clear" w:color="auto" w:fill="auto"/>
          </w:tcPr>
          <w:p w14:paraId="08ED8717" w14:textId="03E2F67D" w:rsidR="001569DC" w:rsidRPr="004F6792" w:rsidRDefault="001569DC" w:rsidP="004F6792">
            <w:pPr>
              <w:jc w:val="center"/>
              <w:rPr>
                <w:b/>
                <w:bCs/>
              </w:rPr>
            </w:pPr>
            <w:r w:rsidRPr="004F6792">
              <w:rPr>
                <w:b/>
                <w:bCs/>
              </w:rPr>
              <w:t>Date</w:t>
            </w:r>
          </w:p>
        </w:tc>
        <w:tc>
          <w:tcPr>
            <w:tcW w:w="5948" w:type="dxa"/>
            <w:shd w:val="clear" w:color="auto" w:fill="auto"/>
          </w:tcPr>
          <w:p w14:paraId="1B64394D" w14:textId="4FD71F17" w:rsidR="001569DC" w:rsidRPr="004F6792" w:rsidRDefault="001569DC" w:rsidP="004F6792">
            <w:pPr>
              <w:jc w:val="center"/>
              <w:rPr>
                <w:b/>
                <w:bCs/>
              </w:rPr>
            </w:pPr>
            <w:r w:rsidRPr="004F6792">
              <w:rPr>
                <w:b/>
                <w:bCs/>
              </w:rPr>
              <w:t>Activity</w:t>
            </w:r>
          </w:p>
        </w:tc>
      </w:tr>
      <w:tr w:rsidR="001569DC" w14:paraId="36EAB008" w14:textId="77777777" w:rsidTr="001D409A">
        <w:tc>
          <w:tcPr>
            <w:tcW w:w="4673" w:type="dxa"/>
          </w:tcPr>
          <w:p w14:paraId="148BE2C3" w14:textId="7EBBC8AE" w:rsidR="001569DC" w:rsidRDefault="001569DC" w:rsidP="007D6294">
            <w:r>
              <w:t>15 November 2021 to 17 December 2021</w:t>
            </w:r>
          </w:p>
        </w:tc>
        <w:tc>
          <w:tcPr>
            <w:tcW w:w="5948" w:type="dxa"/>
          </w:tcPr>
          <w:p w14:paraId="5586FED2" w14:textId="42D1C9AE" w:rsidR="001569DC" w:rsidRDefault="007346BD" w:rsidP="007D6294">
            <w:r>
              <w:t>I</w:t>
            </w:r>
            <w:r w:rsidR="001569DC">
              <w:t xml:space="preserve">nitial </w:t>
            </w:r>
            <w:r>
              <w:t>L</w:t>
            </w:r>
            <w:r w:rsidR="001569DC">
              <w:t xml:space="preserve">ocal </w:t>
            </w:r>
            <w:r>
              <w:t>A</w:t>
            </w:r>
            <w:r w:rsidR="001569DC">
              <w:t>uthority consultation (complete)</w:t>
            </w:r>
          </w:p>
        </w:tc>
      </w:tr>
      <w:tr w:rsidR="001569DC" w14:paraId="3AE6ECEE" w14:textId="77777777" w:rsidTr="001D409A">
        <w:tc>
          <w:tcPr>
            <w:tcW w:w="4673" w:type="dxa"/>
          </w:tcPr>
          <w:p w14:paraId="646FF267" w14:textId="48758DF2" w:rsidR="001569DC" w:rsidRDefault="004F069A" w:rsidP="007D6294">
            <w:r>
              <w:t>8</w:t>
            </w:r>
            <w:r w:rsidR="001569DC">
              <w:t xml:space="preserve"> March 2022 to 29 May 2022</w:t>
            </w:r>
          </w:p>
        </w:tc>
        <w:tc>
          <w:tcPr>
            <w:tcW w:w="5948" w:type="dxa"/>
          </w:tcPr>
          <w:p w14:paraId="35B34EE8" w14:textId="060F594A" w:rsidR="001569DC" w:rsidRDefault="001569DC" w:rsidP="007D6294">
            <w:r>
              <w:t>Seeking proposals / statutory competition period</w:t>
            </w:r>
          </w:p>
        </w:tc>
      </w:tr>
      <w:tr w:rsidR="001569DC" w14:paraId="585724BD" w14:textId="77777777" w:rsidTr="001D409A">
        <w:tc>
          <w:tcPr>
            <w:tcW w:w="4673" w:type="dxa"/>
          </w:tcPr>
          <w:p w14:paraId="481C2759" w14:textId="75638957" w:rsidR="001569DC" w:rsidRDefault="001569DC" w:rsidP="007D6294">
            <w:r>
              <w:t>18 April 2022 to 30 May 2022</w:t>
            </w:r>
          </w:p>
        </w:tc>
        <w:tc>
          <w:tcPr>
            <w:tcW w:w="5948" w:type="dxa"/>
          </w:tcPr>
          <w:p w14:paraId="7B1E66B5" w14:textId="6416979B" w:rsidR="001569DC" w:rsidRDefault="001569DC" w:rsidP="007D6294">
            <w:r>
              <w:t>DfE evidence gathering on proposers</w:t>
            </w:r>
          </w:p>
        </w:tc>
      </w:tr>
      <w:tr w:rsidR="001569DC" w14:paraId="730D0071" w14:textId="77777777" w:rsidTr="001D409A">
        <w:tc>
          <w:tcPr>
            <w:tcW w:w="4673" w:type="dxa"/>
          </w:tcPr>
          <w:p w14:paraId="22295196" w14:textId="1DD409A3" w:rsidR="001569DC" w:rsidRDefault="007346BD" w:rsidP="007D6294">
            <w:r>
              <w:t>30</w:t>
            </w:r>
            <w:r w:rsidR="00D20C80">
              <w:t xml:space="preserve"> </w:t>
            </w:r>
            <w:r>
              <w:t>May</w:t>
            </w:r>
            <w:r w:rsidR="00D20C80">
              <w:t xml:space="preserve"> 2022 to </w:t>
            </w:r>
            <w:r>
              <w:t>10</w:t>
            </w:r>
            <w:r w:rsidR="00D20C80">
              <w:t xml:space="preserve"> Ju</w:t>
            </w:r>
            <w:r>
              <w:t>ne</w:t>
            </w:r>
            <w:r w:rsidR="00D20C80">
              <w:t xml:space="preserve"> 2022</w:t>
            </w:r>
          </w:p>
        </w:tc>
        <w:tc>
          <w:tcPr>
            <w:tcW w:w="5948" w:type="dxa"/>
          </w:tcPr>
          <w:p w14:paraId="262BA2B0" w14:textId="76BD9D68" w:rsidR="001569DC" w:rsidRDefault="00D20C80" w:rsidP="007D6294">
            <w:r>
              <w:t>Assessing proposals in line with specification</w:t>
            </w:r>
          </w:p>
        </w:tc>
      </w:tr>
      <w:tr w:rsidR="007346BD" w14:paraId="51A8A85D" w14:textId="77777777" w:rsidTr="001D409A">
        <w:tc>
          <w:tcPr>
            <w:tcW w:w="4673" w:type="dxa"/>
          </w:tcPr>
          <w:p w14:paraId="3990657E" w14:textId="5CD66BC5" w:rsidR="007346BD" w:rsidRDefault="007346BD" w:rsidP="007D6294">
            <w:r>
              <w:t>13 June 2022</w:t>
            </w:r>
          </w:p>
        </w:tc>
        <w:tc>
          <w:tcPr>
            <w:tcW w:w="5948" w:type="dxa"/>
          </w:tcPr>
          <w:p w14:paraId="73926138" w14:textId="26AD6F8D" w:rsidR="007346BD" w:rsidRDefault="007346BD" w:rsidP="007D6294">
            <w:r>
              <w:t>Applicant Interviews</w:t>
            </w:r>
          </w:p>
        </w:tc>
      </w:tr>
      <w:tr w:rsidR="001569DC" w14:paraId="1AFE422D" w14:textId="77777777" w:rsidTr="001D409A">
        <w:tc>
          <w:tcPr>
            <w:tcW w:w="4673" w:type="dxa"/>
          </w:tcPr>
          <w:p w14:paraId="54D6EC54" w14:textId="27D76539" w:rsidR="001569DC" w:rsidRDefault="00D20C80" w:rsidP="007D6294">
            <w:r>
              <w:t>2</w:t>
            </w:r>
            <w:r w:rsidR="002D2331">
              <w:t>0</w:t>
            </w:r>
            <w:r>
              <w:t xml:space="preserve"> Ju</w:t>
            </w:r>
            <w:r w:rsidR="002D2331">
              <w:t>ne</w:t>
            </w:r>
            <w:r>
              <w:t xml:space="preserve"> 2022</w:t>
            </w:r>
          </w:p>
        </w:tc>
        <w:tc>
          <w:tcPr>
            <w:tcW w:w="5948" w:type="dxa"/>
          </w:tcPr>
          <w:p w14:paraId="54354754" w14:textId="46B395F0" w:rsidR="001569DC" w:rsidRDefault="00D20C80" w:rsidP="007D6294">
            <w:r>
              <w:t>Local authority recommendation to</w:t>
            </w:r>
            <w:r w:rsidR="002D2331">
              <w:t xml:space="preserve"> RSC and</w:t>
            </w:r>
            <w:r>
              <w:t xml:space="preserve"> </w:t>
            </w:r>
            <w:r w:rsidR="002D2331">
              <w:t>S</w:t>
            </w:r>
            <w:r>
              <w:t xml:space="preserve">ecretary of </w:t>
            </w:r>
            <w:r w:rsidR="002D2331">
              <w:t>S</w:t>
            </w:r>
            <w:r>
              <w:t>tate</w:t>
            </w:r>
          </w:p>
        </w:tc>
      </w:tr>
      <w:tr w:rsidR="002D2331" w14:paraId="62BFBD54" w14:textId="77777777" w:rsidTr="001D409A">
        <w:tc>
          <w:tcPr>
            <w:tcW w:w="4673" w:type="dxa"/>
          </w:tcPr>
          <w:p w14:paraId="246316C5" w14:textId="414FD42E" w:rsidR="002D2331" w:rsidRDefault="002D2331" w:rsidP="007D6294">
            <w:r>
              <w:t>21 July 2022</w:t>
            </w:r>
          </w:p>
        </w:tc>
        <w:tc>
          <w:tcPr>
            <w:tcW w:w="5948" w:type="dxa"/>
          </w:tcPr>
          <w:p w14:paraId="086D4369" w14:textId="3E0FF85C" w:rsidR="002D2331" w:rsidRDefault="002D2331" w:rsidP="007D6294">
            <w:r>
              <w:t>Successful Sponsor confirmed</w:t>
            </w:r>
            <w:r w:rsidR="00B13706">
              <w:t xml:space="preserve"> – RSC notifications to LA and Sponsor</w:t>
            </w:r>
          </w:p>
        </w:tc>
      </w:tr>
      <w:tr w:rsidR="001569DC" w14:paraId="57A4FED4" w14:textId="77777777" w:rsidTr="001D409A">
        <w:tc>
          <w:tcPr>
            <w:tcW w:w="4673" w:type="dxa"/>
          </w:tcPr>
          <w:p w14:paraId="273D77F7" w14:textId="02FA68E3" w:rsidR="001569DC" w:rsidRDefault="00D20C80" w:rsidP="007D6294">
            <w:r>
              <w:t>August 2022</w:t>
            </w:r>
          </w:p>
        </w:tc>
        <w:tc>
          <w:tcPr>
            <w:tcW w:w="5948" w:type="dxa"/>
          </w:tcPr>
          <w:p w14:paraId="7C2FFA5F" w14:textId="1A11779B" w:rsidR="001569DC" w:rsidRDefault="00D20C80" w:rsidP="007D6294">
            <w:r>
              <w:t>Commencement of Phase 1 pre-opening phase</w:t>
            </w:r>
          </w:p>
        </w:tc>
      </w:tr>
    </w:tbl>
    <w:p w14:paraId="473D3183" w14:textId="77777777" w:rsidR="001569DC" w:rsidRDefault="001569DC" w:rsidP="007D6294"/>
    <w:p w14:paraId="75D6D716" w14:textId="3D413A4F" w:rsidR="0060254E" w:rsidRPr="00D20C80" w:rsidRDefault="00D20C80" w:rsidP="0060254E">
      <w:pPr>
        <w:rPr>
          <w:b/>
          <w:bCs/>
          <w:highlight w:val="yellow"/>
        </w:rPr>
      </w:pPr>
      <w:r w:rsidRPr="00D20C80">
        <w:rPr>
          <w:b/>
          <w:bCs/>
        </w:rPr>
        <w:t>Assessing Proposals</w:t>
      </w:r>
    </w:p>
    <w:p w14:paraId="627BCB55" w14:textId="67443B65" w:rsidR="0060254E" w:rsidRDefault="0060254E" w:rsidP="0060254E">
      <w:pPr>
        <w:rPr>
          <w:highlight w:val="yellow"/>
        </w:rPr>
      </w:pPr>
    </w:p>
    <w:p w14:paraId="16C65BB5" w14:textId="36E43381" w:rsidR="008E019A" w:rsidRDefault="008E019A" w:rsidP="008E019A">
      <w:r w:rsidRPr="00D20C80">
        <w:t xml:space="preserve">SCC and the DfE will use the model criteria from the </w:t>
      </w:r>
      <w:hyperlink r:id="rId18" w:history="1">
        <w:r w:rsidR="00B34ACA">
          <w:rPr>
            <w:rStyle w:val="Hyperlink"/>
          </w:rPr>
          <w:t>Free School Presumption Guidance</w:t>
        </w:r>
      </w:hyperlink>
      <w:r w:rsidRPr="00D20C80">
        <w:t xml:space="preserve"> when assessing proposals in line with the published school specification</w:t>
      </w:r>
      <w:r>
        <w:t xml:space="preserve">. </w:t>
      </w:r>
    </w:p>
    <w:p w14:paraId="3FA7787E" w14:textId="52B8F1BD" w:rsidR="008E019A" w:rsidRDefault="008E019A" w:rsidP="0060254E">
      <w:pPr>
        <w:rPr>
          <w:highlight w:val="yellow"/>
        </w:rPr>
      </w:pPr>
    </w:p>
    <w:p w14:paraId="1C1EC856" w14:textId="0145E1E5" w:rsidR="008E019A" w:rsidRPr="00411FA3" w:rsidRDefault="008E019A" w:rsidP="0060254E">
      <w:pPr>
        <w:rPr>
          <w:b/>
          <w:bCs/>
        </w:rPr>
      </w:pPr>
      <w:r w:rsidRPr="00411FA3">
        <w:rPr>
          <w:b/>
          <w:bCs/>
        </w:rPr>
        <w:t>Scoring</w:t>
      </w:r>
    </w:p>
    <w:p w14:paraId="70F7BC32" w14:textId="6AFBB83C" w:rsidR="008E019A" w:rsidRDefault="008E019A" w:rsidP="0060254E">
      <w:pPr>
        <w:rPr>
          <w:b/>
          <w:bCs/>
          <w:highlight w:val="yellow"/>
        </w:rPr>
      </w:pPr>
    </w:p>
    <w:p w14:paraId="55D7B4BB" w14:textId="63F556AE" w:rsidR="008E019A" w:rsidRDefault="008E019A" w:rsidP="0060254E">
      <w:r w:rsidRPr="00411FA3">
        <w:t>Each section</w:t>
      </w:r>
      <w:r>
        <w:t xml:space="preserve"> of the application form will be assessed and scored against the following criteria:</w:t>
      </w:r>
    </w:p>
    <w:p w14:paraId="3130DAFA" w14:textId="77777777" w:rsidR="008E019A" w:rsidRDefault="008E019A" w:rsidP="0060254E">
      <w:r>
        <w:t xml:space="preserve">0 = The evidence and argument contained in the application is ‘inadequate’. </w:t>
      </w:r>
    </w:p>
    <w:p w14:paraId="48361A9D" w14:textId="77777777" w:rsidR="008E019A" w:rsidRDefault="008E019A" w:rsidP="0060254E">
      <w:r>
        <w:t xml:space="preserve">1 = The evidence and argument contained in the application is ‘adequate’. </w:t>
      </w:r>
    </w:p>
    <w:p w14:paraId="669115B6" w14:textId="77777777" w:rsidR="008E019A" w:rsidRDefault="008E019A" w:rsidP="0060254E">
      <w:r>
        <w:t xml:space="preserve">2 = The evidence and argument contained in the application is ‘good’. </w:t>
      </w:r>
    </w:p>
    <w:p w14:paraId="560B2FC5" w14:textId="5EA7CDDA" w:rsidR="008E019A" w:rsidRPr="00411FA3" w:rsidRDefault="008E019A" w:rsidP="0060254E">
      <w:r>
        <w:t>3 = The evidence and argument contained in the application is ‘excellent’.</w:t>
      </w:r>
    </w:p>
    <w:p w14:paraId="3DDA5C64" w14:textId="77777777" w:rsidR="008E019A" w:rsidRDefault="008E019A" w:rsidP="0060254E"/>
    <w:p w14:paraId="528F0A31" w14:textId="4C7706E7" w:rsidR="008E019A" w:rsidRDefault="004F6792" w:rsidP="0060254E">
      <w:r>
        <w:t>An assessment</w:t>
      </w:r>
      <w:r w:rsidR="00EA5996">
        <w:t xml:space="preserve"> panel</w:t>
      </w:r>
      <w:r w:rsidR="002D2331">
        <w:t>, observed by the DfE and made up of senior leaders within SCC’s Education and Lifelong Learning Directorate, local Special School Headteachers and Community representatives</w:t>
      </w:r>
      <w:r w:rsidR="00EA5996">
        <w:t xml:space="preserve"> will assess </w:t>
      </w:r>
      <w:r w:rsidR="001547D2">
        <w:t xml:space="preserve">all </w:t>
      </w:r>
      <w:r w:rsidR="00EA5996">
        <w:t>proposals</w:t>
      </w:r>
      <w:r w:rsidR="001547D2">
        <w:t xml:space="preserve"> received. This process will include face to face interviews with short-listed applicants.</w:t>
      </w:r>
    </w:p>
    <w:p w14:paraId="52ABB52C" w14:textId="77777777" w:rsidR="008E019A" w:rsidRDefault="008E019A" w:rsidP="0060254E"/>
    <w:tbl>
      <w:tblPr>
        <w:tblStyle w:val="TableGrid"/>
        <w:tblW w:w="0" w:type="auto"/>
        <w:tblLook w:val="04A0" w:firstRow="1" w:lastRow="0" w:firstColumn="1" w:lastColumn="0" w:noHBand="0" w:noVBand="1"/>
        <w:tblCaption w:val="Table 5"/>
        <w:tblDescription w:val="This shows the make-up of the panel to assess proposals. There will be assistant directors from Surrey County Council, Head Teachers of other Surrey Special Schools and a representative from the Department for Education."/>
      </w:tblPr>
      <w:tblGrid>
        <w:gridCol w:w="5310"/>
        <w:gridCol w:w="5311"/>
      </w:tblGrid>
      <w:tr w:rsidR="008E019A" w14:paraId="39F8630B" w14:textId="77777777" w:rsidTr="00574010">
        <w:tc>
          <w:tcPr>
            <w:tcW w:w="5310" w:type="dxa"/>
            <w:shd w:val="clear" w:color="auto" w:fill="auto"/>
          </w:tcPr>
          <w:p w14:paraId="04B00171" w14:textId="08AAEB3F" w:rsidR="008E019A" w:rsidRPr="008E019A" w:rsidRDefault="008E019A" w:rsidP="0060254E">
            <w:pPr>
              <w:rPr>
                <w:b/>
                <w:bCs/>
              </w:rPr>
            </w:pPr>
            <w:r w:rsidRPr="008E019A">
              <w:rPr>
                <w:b/>
                <w:bCs/>
              </w:rPr>
              <w:t>Panel Member Name</w:t>
            </w:r>
          </w:p>
        </w:tc>
        <w:tc>
          <w:tcPr>
            <w:tcW w:w="5311" w:type="dxa"/>
            <w:shd w:val="clear" w:color="auto" w:fill="auto"/>
          </w:tcPr>
          <w:p w14:paraId="6F3406DE" w14:textId="7FC6581E" w:rsidR="008E019A" w:rsidRPr="008E019A" w:rsidRDefault="008E019A" w:rsidP="0060254E">
            <w:pPr>
              <w:rPr>
                <w:b/>
                <w:bCs/>
              </w:rPr>
            </w:pPr>
            <w:r w:rsidRPr="008E019A">
              <w:rPr>
                <w:b/>
                <w:bCs/>
              </w:rPr>
              <w:t>Role</w:t>
            </w:r>
          </w:p>
        </w:tc>
      </w:tr>
      <w:tr w:rsidR="008E019A" w14:paraId="3B89AF13" w14:textId="77777777" w:rsidTr="008E019A">
        <w:tc>
          <w:tcPr>
            <w:tcW w:w="5310" w:type="dxa"/>
          </w:tcPr>
          <w:p w14:paraId="08FC6229" w14:textId="06C62B76" w:rsidR="008E019A" w:rsidRDefault="008E019A" w:rsidP="0060254E">
            <w:r>
              <w:t>Jane Winterbone</w:t>
            </w:r>
          </w:p>
        </w:tc>
        <w:tc>
          <w:tcPr>
            <w:tcW w:w="5311" w:type="dxa"/>
          </w:tcPr>
          <w:p w14:paraId="554E651B" w14:textId="5F2C42C1" w:rsidR="008E019A" w:rsidRDefault="008E019A" w:rsidP="0060254E">
            <w:r>
              <w:t>Assistant Director Education</w:t>
            </w:r>
          </w:p>
        </w:tc>
      </w:tr>
      <w:tr w:rsidR="008E019A" w14:paraId="238EFEF2" w14:textId="77777777" w:rsidTr="008E019A">
        <w:tc>
          <w:tcPr>
            <w:tcW w:w="5310" w:type="dxa"/>
          </w:tcPr>
          <w:p w14:paraId="2C0E45D1" w14:textId="12098A10" w:rsidR="008E019A" w:rsidRDefault="00D312D2" w:rsidP="0060254E">
            <w:r>
              <w:t>Julia Katherine</w:t>
            </w:r>
          </w:p>
        </w:tc>
        <w:tc>
          <w:tcPr>
            <w:tcW w:w="5311" w:type="dxa"/>
          </w:tcPr>
          <w:p w14:paraId="3A993B91" w14:textId="5AF391A9" w:rsidR="008E019A" w:rsidRDefault="008E019A" w:rsidP="0060254E">
            <w:r>
              <w:t>Assistant Director Vulnerable Learners</w:t>
            </w:r>
            <w:r w:rsidR="00D312D2">
              <w:t xml:space="preserve"> </w:t>
            </w:r>
            <w:r w:rsidR="008E709F">
              <w:t>(</w:t>
            </w:r>
            <w:r w:rsidR="00D312D2">
              <w:t>NE</w:t>
            </w:r>
            <w:r w:rsidR="008E709F">
              <w:t>)</w:t>
            </w:r>
          </w:p>
        </w:tc>
      </w:tr>
      <w:tr w:rsidR="008E019A" w14:paraId="0F5450D0" w14:textId="77777777" w:rsidTr="008E019A">
        <w:tc>
          <w:tcPr>
            <w:tcW w:w="5310" w:type="dxa"/>
          </w:tcPr>
          <w:p w14:paraId="3FD75884" w14:textId="7D9E955A" w:rsidR="008E019A" w:rsidRDefault="00B34ACA" w:rsidP="0060254E">
            <w:r>
              <w:t>Paul Jensen</w:t>
            </w:r>
          </w:p>
        </w:tc>
        <w:tc>
          <w:tcPr>
            <w:tcW w:w="5311" w:type="dxa"/>
          </w:tcPr>
          <w:p w14:paraId="436B882F" w14:textId="39A87C75" w:rsidR="008E019A" w:rsidRDefault="008E019A" w:rsidP="0060254E">
            <w:r>
              <w:t xml:space="preserve">Headteacher, </w:t>
            </w:r>
            <w:r w:rsidR="00B34ACA">
              <w:t>Sunnydown School</w:t>
            </w:r>
          </w:p>
        </w:tc>
      </w:tr>
      <w:tr w:rsidR="008E019A" w14:paraId="0747D6B8" w14:textId="77777777" w:rsidTr="008E019A">
        <w:tc>
          <w:tcPr>
            <w:tcW w:w="5310" w:type="dxa"/>
          </w:tcPr>
          <w:p w14:paraId="30ACF7F5" w14:textId="79B68731" w:rsidR="008E019A" w:rsidRDefault="00EC1B8F" w:rsidP="0060254E">
            <w:r>
              <w:t>TBC</w:t>
            </w:r>
          </w:p>
        </w:tc>
        <w:tc>
          <w:tcPr>
            <w:tcW w:w="5311" w:type="dxa"/>
          </w:tcPr>
          <w:p w14:paraId="76B134E9" w14:textId="6CD901AC" w:rsidR="008E019A" w:rsidRDefault="008E019A" w:rsidP="0060254E">
            <w:r>
              <w:t>Headteacher, name of school</w:t>
            </w:r>
          </w:p>
        </w:tc>
      </w:tr>
      <w:tr w:rsidR="008E019A" w14:paraId="18265BA8" w14:textId="77777777" w:rsidTr="008E019A">
        <w:tc>
          <w:tcPr>
            <w:tcW w:w="5310" w:type="dxa"/>
          </w:tcPr>
          <w:p w14:paraId="4DC5D29A" w14:textId="799AB91B" w:rsidR="008E019A" w:rsidRDefault="008E019A" w:rsidP="0060254E">
            <w:r>
              <w:t>Gill Perkin</w:t>
            </w:r>
          </w:p>
        </w:tc>
        <w:tc>
          <w:tcPr>
            <w:tcW w:w="5311" w:type="dxa"/>
          </w:tcPr>
          <w:p w14:paraId="392D4114" w14:textId="2CF496DA" w:rsidR="008E019A" w:rsidRPr="008E019A" w:rsidRDefault="008E019A" w:rsidP="008E019A">
            <w:pPr>
              <w:autoSpaceDE w:val="0"/>
              <w:rPr>
                <w:rFonts w:cs="Arial"/>
                <w:szCs w:val="24"/>
                <w:lang w:eastAsia="en-GB"/>
              </w:rPr>
            </w:pPr>
            <w:r>
              <w:rPr>
                <w:rFonts w:cs="Arial"/>
                <w:szCs w:val="24"/>
                <w:lang w:eastAsia="en-GB"/>
              </w:rPr>
              <w:t>Area Manager (Surrey) South East South London Regional Delivery Directorate, Department for Education</w:t>
            </w:r>
          </w:p>
        </w:tc>
      </w:tr>
    </w:tbl>
    <w:p w14:paraId="0EC1DFD1" w14:textId="77777777" w:rsidR="008E019A" w:rsidRDefault="008E019A" w:rsidP="0060254E"/>
    <w:p w14:paraId="3929E300" w14:textId="77777777" w:rsidR="008E019A" w:rsidRDefault="008E019A" w:rsidP="0060254E"/>
    <w:p w14:paraId="24CEA7F6" w14:textId="76622630" w:rsidR="00D20C80" w:rsidRPr="00D20C80" w:rsidRDefault="00D20C80" w:rsidP="0060254E">
      <w:r>
        <w:t xml:space="preserve">After this process has been completed, the local authority will put forward a recommendation to the </w:t>
      </w:r>
      <w:r w:rsidR="008E709F">
        <w:t>Department for Education</w:t>
      </w:r>
      <w:r>
        <w:t xml:space="preserve"> that provides strong credible evidence that the new Special Free School will raise the overall standard of special educational provision, reduce social disadvantage in the local area and add high quality specialist school places to Surrey’s specialist educational estate.</w:t>
      </w:r>
      <w:r w:rsidR="00EA5996">
        <w:t xml:space="preserve"> </w:t>
      </w:r>
    </w:p>
    <w:p w14:paraId="690C1446" w14:textId="77777777" w:rsidR="00D20C80" w:rsidRPr="007D6294" w:rsidRDefault="00D20C80" w:rsidP="0060254E">
      <w:pPr>
        <w:rPr>
          <w:highlight w:val="yellow"/>
        </w:rPr>
      </w:pPr>
    </w:p>
    <w:p w14:paraId="6158C458" w14:textId="601CED8F" w:rsidR="0060254E" w:rsidRDefault="0060254E" w:rsidP="0060254E">
      <w:r>
        <w:t xml:space="preserve">The Regional School Commissioner (RSC) for </w:t>
      </w:r>
      <w:r w:rsidR="007D6294">
        <w:t>South East</w:t>
      </w:r>
      <w:r w:rsidR="00EA5996">
        <w:t xml:space="preserve"> England and South London</w:t>
      </w:r>
      <w:r w:rsidR="007D6294">
        <w:t>,</w:t>
      </w:r>
      <w:r>
        <w:t xml:space="preserve"> on behalf of the Secretary of State, will consider the local authority</w:t>
      </w:r>
      <w:r w:rsidR="00EA5996">
        <w:t xml:space="preserve"> and DfE’s</w:t>
      </w:r>
      <w:r>
        <w:t xml:space="preserve"> </w:t>
      </w:r>
      <w:r w:rsidR="00EA5996">
        <w:t>recommendations</w:t>
      </w:r>
      <w:r>
        <w:t xml:space="preserve"> before </w:t>
      </w:r>
      <w:r w:rsidR="00EA5996">
        <w:t>confirming</w:t>
      </w:r>
      <w:r>
        <w:t xml:space="preserve"> which proposer </w:t>
      </w:r>
      <w:r w:rsidR="00EA5996">
        <w:t>will run</w:t>
      </w:r>
      <w:r>
        <w:t xml:space="preserve"> the new school. The RSC will inform the local authority and the successful proposer of its decision, and the local authority will inform any unsuccessful proposers.</w:t>
      </w:r>
    </w:p>
    <w:p w14:paraId="25713CB0" w14:textId="6D1AAE59" w:rsidR="0060254E" w:rsidRDefault="0060254E" w:rsidP="0060254E">
      <w:r>
        <w:lastRenderedPageBreak/>
        <w:t>If you would like to discuss your application</w:t>
      </w:r>
      <w:r w:rsidR="00B13706">
        <w:t xml:space="preserve"> prior to submission</w:t>
      </w:r>
      <w:r>
        <w:t xml:space="preserve">, please contact </w:t>
      </w:r>
      <w:hyperlink r:id="rId19" w:history="1">
        <w:r w:rsidR="00B67E76" w:rsidRPr="00681D33">
          <w:rPr>
            <w:rStyle w:val="Hyperlink"/>
          </w:rPr>
          <w:t>Emilie.WilliamsJones@surreycc.gov.uk</w:t>
        </w:r>
      </w:hyperlink>
      <w:r w:rsidR="00B67E76">
        <w:t xml:space="preserve"> </w:t>
      </w:r>
    </w:p>
    <w:p w14:paraId="7FDBF245" w14:textId="77777777" w:rsidR="00EA5996" w:rsidRDefault="00EA5996" w:rsidP="0060254E"/>
    <w:p w14:paraId="41B4EBF5" w14:textId="1D0E02F1" w:rsidR="00DF1980" w:rsidRPr="00DF1980" w:rsidRDefault="00DF1980" w:rsidP="0060254E">
      <w:pPr>
        <w:rPr>
          <w:b/>
          <w:bCs/>
        </w:rPr>
      </w:pPr>
      <w:r w:rsidRPr="00DF1980">
        <w:rPr>
          <w:b/>
          <w:bCs/>
        </w:rPr>
        <w:t>Application process</w:t>
      </w:r>
    </w:p>
    <w:p w14:paraId="61A24DB2" w14:textId="77777777" w:rsidR="00DF1980" w:rsidRDefault="00DF1980" w:rsidP="0060254E"/>
    <w:p w14:paraId="5E53270A" w14:textId="3D939405" w:rsidR="00AC2459" w:rsidRDefault="00AC2459" w:rsidP="0060254E">
      <w:r>
        <w:t xml:space="preserve">Applicants must ensure that they are on the DfE’s approved sponsor list. Any applicants submitting bids who are not on the approved list, must contact the DfE before submitting a bid to Surrey County Council – details can be found at </w:t>
      </w:r>
      <w:hyperlink r:id="rId20" w:history="1">
        <w:r w:rsidRPr="006A46D4">
          <w:rPr>
            <w:rStyle w:val="Hyperlink"/>
          </w:rPr>
          <w:t>https://www.gov.uk/guidance/sponsor-an-academy</w:t>
        </w:r>
      </w:hyperlink>
      <w:r>
        <w:t>.</w:t>
      </w:r>
    </w:p>
    <w:p w14:paraId="75C71FC4" w14:textId="731A8B06" w:rsidR="00AC2459" w:rsidRDefault="00AC2459" w:rsidP="0060254E"/>
    <w:p w14:paraId="5C5469E0" w14:textId="2DFF805F" w:rsidR="00AC2459" w:rsidRDefault="00AC2459" w:rsidP="0060254E">
      <w:r>
        <w:t xml:space="preserve">Only applications received by </w:t>
      </w:r>
      <w:bookmarkStart w:id="0" w:name="_Hlk96963390"/>
      <w:r w:rsidRPr="002E7C3C">
        <w:rPr>
          <w:b/>
          <w:bCs/>
        </w:rPr>
        <w:t>11pm on</w:t>
      </w:r>
      <w:r w:rsidR="00B13706" w:rsidRPr="002E7C3C">
        <w:rPr>
          <w:b/>
          <w:bCs/>
        </w:rPr>
        <w:t xml:space="preserve"> Sunday</w:t>
      </w:r>
      <w:r w:rsidRPr="002E7C3C">
        <w:rPr>
          <w:b/>
          <w:bCs/>
        </w:rPr>
        <w:t xml:space="preserve"> 29</w:t>
      </w:r>
      <w:r w:rsidRPr="002E7C3C">
        <w:rPr>
          <w:b/>
          <w:bCs/>
          <w:vertAlign w:val="superscript"/>
        </w:rPr>
        <w:t>th</w:t>
      </w:r>
      <w:r w:rsidRPr="002E7C3C">
        <w:rPr>
          <w:b/>
          <w:bCs/>
        </w:rPr>
        <w:t xml:space="preserve"> May 2022</w:t>
      </w:r>
      <w:r>
        <w:t xml:space="preserve"> </w:t>
      </w:r>
      <w:bookmarkEnd w:id="0"/>
      <w:r>
        <w:t xml:space="preserve">and on the official </w:t>
      </w:r>
      <w:hyperlink r:id="rId21" w:history="1">
        <w:r w:rsidRPr="006C55F7">
          <w:rPr>
            <w:rStyle w:val="Hyperlink"/>
          </w:rPr>
          <w:t>Free School Presumption application form</w:t>
        </w:r>
      </w:hyperlink>
      <w:r>
        <w:t xml:space="preserve"> will be considered for evaluation.</w:t>
      </w:r>
    </w:p>
    <w:p w14:paraId="1FCD6308" w14:textId="77777777" w:rsidR="00AC2459" w:rsidRDefault="00AC2459" w:rsidP="0060254E"/>
    <w:p w14:paraId="0431E1D1" w14:textId="67411FE5" w:rsidR="0060254E" w:rsidRDefault="0060254E" w:rsidP="0060254E">
      <w:r>
        <w:t xml:space="preserve">Please </w:t>
      </w:r>
      <w:r w:rsidR="00B67E76">
        <w:t xml:space="preserve">save your </w:t>
      </w:r>
      <w:r>
        <w:t xml:space="preserve">completed </w:t>
      </w:r>
      <w:r w:rsidR="00B67E76">
        <w:t xml:space="preserve">application </w:t>
      </w:r>
      <w:r>
        <w:t>form</w:t>
      </w:r>
      <w:r w:rsidR="00B67E76">
        <w:t xml:space="preserve"> as a PDF and return it</w:t>
      </w:r>
      <w:r>
        <w:t xml:space="preserve"> to </w:t>
      </w:r>
      <w:bookmarkStart w:id="1" w:name="_Hlk96963421"/>
      <w:r w:rsidR="00F10580">
        <w:fldChar w:fldCharType="begin"/>
      </w:r>
      <w:r w:rsidR="00F10580">
        <w:instrText xml:space="preserve"> HYPERLINK "mailto:peter.speers@surreycc.gov.uk" </w:instrText>
      </w:r>
      <w:r w:rsidR="00F10580">
        <w:fldChar w:fldCharType="separate"/>
      </w:r>
      <w:r w:rsidR="0027625A" w:rsidRPr="006A46D4">
        <w:rPr>
          <w:rStyle w:val="Hyperlink"/>
        </w:rPr>
        <w:t>peter.speers@surreycc.gov.uk</w:t>
      </w:r>
      <w:r w:rsidR="00F10580">
        <w:rPr>
          <w:rStyle w:val="Hyperlink"/>
        </w:rPr>
        <w:fldChar w:fldCharType="end"/>
      </w:r>
      <w:r w:rsidR="0027625A">
        <w:t xml:space="preserve"> </w:t>
      </w:r>
      <w:r w:rsidR="00B67E76">
        <w:rPr>
          <w:b/>
          <w:bCs/>
        </w:rPr>
        <w:t>marked For the Attention of</w:t>
      </w:r>
      <w:r w:rsidR="0027625A" w:rsidRPr="00411FA3">
        <w:rPr>
          <w:b/>
          <w:bCs/>
        </w:rPr>
        <w:t xml:space="preserve"> Emilie Williams-Jones</w:t>
      </w:r>
      <w:bookmarkEnd w:id="1"/>
      <w:r w:rsidR="00B67E76">
        <w:rPr>
          <w:b/>
          <w:bCs/>
        </w:rPr>
        <w:t>.</w:t>
      </w:r>
    </w:p>
    <w:p w14:paraId="39516A48" w14:textId="77777777" w:rsidR="001B3E6D" w:rsidRDefault="001B3E6D" w:rsidP="00DE0AAF">
      <w:pPr>
        <w:pStyle w:val="Heading2"/>
      </w:pPr>
    </w:p>
    <w:p w14:paraId="55698108" w14:textId="130EC969" w:rsidR="00DE0AAF" w:rsidRPr="00211750" w:rsidRDefault="00DE0AAF" w:rsidP="00DE0AAF">
      <w:pPr>
        <w:pStyle w:val="Heading2"/>
      </w:pPr>
      <w:r w:rsidRPr="00DE0AAF">
        <w:t>Section B - The School</w:t>
      </w:r>
    </w:p>
    <w:p w14:paraId="3CC94F47" w14:textId="7470C4E7" w:rsidR="006C39D7" w:rsidRPr="006C39D7" w:rsidRDefault="006C39D7" w:rsidP="00DE0AAF">
      <w:pPr>
        <w:rPr>
          <w:b/>
          <w:bCs/>
        </w:rPr>
      </w:pPr>
      <w:r>
        <w:rPr>
          <w:b/>
          <w:bCs/>
        </w:rPr>
        <w:t>General Details</w:t>
      </w:r>
    </w:p>
    <w:p w14:paraId="372804D9" w14:textId="77777777" w:rsidR="006C39D7" w:rsidRDefault="006C39D7" w:rsidP="00DE0AAF"/>
    <w:p w14:paraId="4D51178E" w14:textId="1BB247E3" w:rsidR="008E709F" w:rsidRDefault="00AE2108">
      <w:r>
        <w:t xml:space="preserve">This will be a co-educational </w:t>
      </w:r>
      <w:r w:rsidR="00431A23">
        <w:t>S</w:t>
      </w:r>
      <w:r>
        <w:t xml:space="preserve">pecial Free School for </w:t>
      </w:r>
      <w:r w:rsidR="00B13706">
        <w:t xml:space="preserve">autistic </w:t>
      </w:r>
      <w:r>
        <w:t xml:space="preserve">pupils </w:t>
      </w:r>
      <w:r w:rsidR="00B13706">
        <w:t xml:space="preserve">and those with </w:t>
      </w:r>
      <w:r w:rsidR="00194852">
        <w:t xml:space="preserve">Communication &amp; Interaction needs </w:t>
      </w:r>
      <w:r>
        <w:t>aged between 4 and 19</w:t>
      </w:r>
      <w:r w:rsidR="00431A23">
        <w:t xml:space="preserve"> working at </w:t>
      </w:r>
      <w:r w:rsidR="00B13706">
        <w:t xml:space="preserve">broadly </w:t>
      </w:r>
      <w:r w:rsidR="00431A23">
        <w:t>age-related expectations</w:t>
      </w:r>
      <w:r>
        <w:t xml:space="preserve">. </w:t>
      </w:r>
      <w:r w:rsidR="008E709F">
        <w:t xml:space="preserve">Pupils will follow a number of educational pathways, including </w:t>
      </w:r>
      <w:r w:rsidR="006A26BD">
        <w:t xml:space="preserve">Entry Level 1-Level 2 Functional Skills qualifications </w:t>
      </w:r>
      <w:r w:rsidR="00D21F08">
        <w:t xml:space="preserve">and/or </w:t>
      </w:r>
      <w:r w:rsidR="006A26BD">
        <w:t>GCSEs</w:t>
      </w:r>
      <w:r w:rsidR="0049696C">
        <w:t>,</w:t>
      </w:r>
      <w:r w:rsidR="00D21F08">
        <w:t xml:space="preserve"> and</w:t>
      </w:r>
      <w:r w:rsidR="006A26BD">
        <w:t xml:space="preserve"> A Levels or Vocational qualifications.</w:t>
      </w:r>
    </w:p>
    <w:p w14:paraId="41B7FDB6" w14:textId="5EE39191" w:rsidR="0049696C" w:rsidRDefault="001B3E6D">
      <w:r>
        <w:t xml:space="preserve">The plan is for the school to open to its first cohort of </w:t>
      </w:r>
      <w:r w:rsidR="00EC1B8F">
        <w:t xml:space="preserve">up to 80 </w:t>
      </w:r>
      <w:r>
        <w:t>pupils</w:t>
      </w:r>
      <w:r w:rsidR="003F3D4B">
        <w:t xml:space="preserve"> in September 2024. </w:t>
      </w:r>
    </w:p>
    <w:p w14:paraId="2212F45B" w14:textId="77777777" w:rsidR="0049696C" w:rsidRDefault="0049696C"/>
    <w:p w14:paraId="7A0CF57C" w14:textId="728BB068" w:rsidR="00107F81" w:rsidRPr="00107F81" w:rsidRDefault="003F3D4B" w:rsidP="00107F81">
      <w:pPr>
        <w:spacing w:after="160" w:line="259" w:lineRule="auto"/>
        <w:rPr>
          <w:rFonts w:cs="Arial"/>
        </w:rPr>
      </w:pPr>
      <w:r>
        <w:t xml:space="preserve">The preferred location for the school is in the </w:t>
      </w:r>
      <w:r w:rsidR="0027625A">
        <w:t>n</w:t>
      </w:r>
      <w:r>
        <w:t xml:space="preserve">orth of the </w:t>
      </w:r>
      <w:r w:rsidR="0027625A">
        <w:t>c</w:t>
      </w:r>
      <w:r>
        <w:t>ounty</w:t>
      </w:r>
      <w:r w:rsidR="0027625A">
        <w:t xml:space="preserve">. </w:t>
      </w:r>
      <w:r w:rsidR="00107F81">
        <w:t>T</w:t>
      </w:r>
      <w:r w:rsidR="0027625A" w:rsidRPr="006954E3">
        <w:t>he Grove Farm site</w:t>
      </w:r>
      <w:r w:rsidR="00107F81">
        <w:t xml:space="preserve"> is a large site and only part of it will be used for the new school.  This will be subject to Planning approval. </w:t>
      </w:r>
      <w:r w:rsidR="00107F81" w:rsidRPr="00107F81">
        <w:rPr>
          <w:rFonts w:cs="Arial"/>
        </w:rPr>
        <w:t xml:space="preserve">Public consultation will be carried out in line with statutory Planning Consultation and Judicial Review periods for Land &amp; Property developments. </w:t>
      </w:r>
    </w:p>
    <w:p w14:paraId="66193B31" w14:textId="1352715E" w:rsidR="006954E3" w:rsidRDefault="00107F81" w:rsidP="0049696C">
      <w:r>
        <w:t xml:space="preserve">Grove Farm site </w:t>
      </w:r>
      <w:r w:rsidR="0027625A" w:rsidRPr="006954E3">
        <w:t>is north of Esher</w:t>
      </w:r>
      <w:r w:rsidR="0049696C">
        <w:t xml:space="preserve"> (Elmbridge)</w:t>
      </w:r>
      <w:r w:rsidR="0027625A" w:rsidRPr="006954E3">
        <w:t xml:space="preserve"> and is surrounded to the north by the River Ember (River Mole) and a residential area to the east, south and south west. Esher </w:t>
      </w:r>
      <w:r w:rsidR="006954E3" w:rsidRPr="001D409A">
        <w:t xml:space="preserve">Water </w:t>
      </w:r>
      <w:r w:rsidR="0027625A" w:rsidRPr="002919AF">
        <w:t>Treatment Works lies to the west.</w:t>
      </w:r>
      <w:r w:rsidR="0027625A" w:rsidRPr="00A51EC2">
        <w:t xml:space="preserve"> Cranmere Primary School lies to the south east of the site and a mainline railway lies further to the south.</w:t>
      </w:r>
      <w:r w:rsidR="006954E3" w:rsidRPr="00A51EC2">
        <w:t xml:space="preserve"> </w:t>
      </w:r>
      <w:r w:rsidR="006954E3" w:rsidRPr="0049696C">
        <w:t xml:space="preserve">The water treatment works are at the top left corner of the Grove Farm site, approx. 1000m as the crow flies from the proposed school site. The trainline is a lot closer (300metres), </w:t>
      </w:r>
      <w:r w:rsidR="0049696C">
        <w:t>but</w:t>
      </w:r>
      <w:r w:rsidR="006954E3" w:rsidRPr="0049696C">
        <w:t xml:space="preserve"> acoustic surveys</w:t>
      </w:r>
      <w:r w:rsidR="0049696C">
        <w:t xml:space="preserve"> have been carried out</w:t>
      </w:r>
      <w:r w:rsidR="006954E3" w:rsidRPr="0049696C">
        <w:t xml:space="preserve"> from the outset, and the current Cranmere Primary has not found any noise issues. The River Ember is approximately half a mile away at the very top end of the </w:t>
      </w:r>
      <w:r w:rsidR="0049696C" w:rsidRPr="0049696C">
        <w:t>site and</w:t>
      </w:r>
      <w:r w:rsidR="006954E3" w:rsidRPr="0049696C">
        <w:t xml:space="preserve"> is not very visible from anywhere in the vicinity of the schools. The </w:t>
      </w:r>
      <w:r w:rsidR="0049696C">
        <w:t>R</w:t>
      </w:r>
      <w:r w:rsidR="006954E3" w:rsidRPr="0049696C">
        <w:t>iver Mole is around 1 mile to the west of the site located behind the industrial estate.</w:t>
      </w:r>
    </w:p>
    <w:p w14:paraId="4975606A" w14:textId="77777777" w:rsidR="00107F81" w:rsidRDefault="00107F81" w:rsidP="00107F81">
      <w:r>
        <w:t xml:space="preserve">The site and buildings will be provided by SCC and in each case will be in line with the mid-range </w:t>
      </w:r>
      <w:hyperlink r:id="rId22" w:history="1">
        <w:r>
          <w:rPr>
            <w:rStyle w:val="Hyperlink"/>
          </w:rPr>
          <w:t>Building Bulletin 104 guidelines</w:t>
        </w:r>
      </w:hyperlink>
      <w:r>
        <w:t>.</w:t>
      </w:r>
    </w:p>
    <w:p w14:paraId="4D4B8237" w14:textId="77777777" w:rsidR="0049696C" w:rsidRDefault="0049696C" w:rsidP="0027625A">
      <w:pPr>
        <w:rPr>
          <w:rFonts w:cs="Arial"/>
          <w:szCs w:val="24"/>
        </w:rPr>
      </w:pPr>
    </w:p>
    <w:p w14:paraId="6074ECBE" w14:textId="0E8429E2" w:rsidR="0027625A" w:rsidRDefault="0027625A" w:rsidP="0027625A">
      <w:pPr>
        <w:rPr>
          <w:rFonts w:cs="Arial"/>
          <w:szCs w:val="24"/>
        </w:rPr>
      </w:pPr>
      <w:r>
        <w:rPr>
          <w:rFonts w:cs="Arial"/>
          <w:szCs w:val="24"/>
        </w:rPr>
        <w:t xml:space="preserve">The address for the </w:t>
      </w:r>
      <w:r w:rsidR="00DF1980">
        <w:rPr>
          <w:rFonts w:cs="Arial"/>
          <w:szCs w:val="24"/>
        </w:rPr>
        <w:t xml:space="preserve">new school </w:t>
      </w:r>
      <w:r>
        <w:rPr>
          <w:rFonts w:cs="Arial"/>
          <w:szCs w:val="24"/>
        </w:rPr>
        <w:t>site is:</w:t>
      </w:r>
      <w:r w:rsidR="00107F81">
        <w:rPr>
          <w:rFonts w:cs="Arial"/>
          <w:szCs w:val="24"/>
        </w:rPr>
        <w:t xml:space="preserve"> </w:t>
      </w:r>
      <w:r w:rsidRPr="0027625A">
        <w:rPr>
          <w:rFonts w:cs="Arial"/>
        </w:rPr>
        <w:t>Grove Farm,</w:t>
      </w:r>
      <w:r w:rsidR="00107F81">
        <w:rPr>
          <w:rFonts w:cs="Arial"/>
        </w:rPr>
        <w:t xml:space="preserve"> </w:t>
      </w:r>
      <w:r w:rsidRPr="0027625A">
        <w:rPr>
          <w:rFonts w:cs="Arial"/>
        </w:rPr>
        <w:t>Arran Way</w:t>
      </w:r>
      <w:r w:rsidR="00107F81">
        <w:rPr>
          <w:rFonts w:cs="Arial"/>
        </w:rPr>
        <w:t xml:space="preserve">, </w:t>
      </w:r>
      <w:r w:rsidRPr="0027625A">
        <w:rPr>
          <w:rFonts w:cs="Arial"/>
        </w:rPr>
        <w:t>Esher</w:t>
      </w:r>
      <w:r w:rsidR="00107F81">
        <w:t xml:space="preserve"> </w:t>
      </w:r>
      <w:r w:rsidRPr="0027625A">
        <w:rPr>
          <w:rFonts w:cs="Arial"/>
          <w:szCs w:val="24"/>
        </w:rPr>
        <w:t>KT10 8BE</w:t>
      </w:r>
    </w:p>
    <w:p w14:paraId="7F4783E9" w14:textId="77777777" w:rsidR="00107F81" w:rsidRPr="00107F81" w:rsidRDefault="00107F81" w:rsidP="0027625A"/>
    <w:p w14:paraId="484B9E90" w14:textId="012DB2DC" w:rsidR="00482D8F" w:rsidRDefault="00107F81" w:rsidP="00107F81">
      <w:pPr>
        <w:jc w:val="center"/>
        <w:rPr>
          <w:rFonts w:cs="Arial"/>
          <w:szCs w:val="24"/>
        </w:rPr>
      </w:pPr>
      <w:r>
        <w:rPr>
          <w:noProof/>
        </w:rPr>
        <w:drawing>
          <wp:inline distT="0" distB="0" distL="0" distR="0" wp14:anchorId="51335D0A" wp14:editId="51581EF3">
            <wp:extent cx="1302732" cy="1287037"/>
            <wp:effectExtent l="0" t="0" r="0" b="8890"/>
            <wp:docPr id="4" name="Picture 4" descr="Photograph showing the outline of the propos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otograph showing the outline of the proposed site."/>
                    <pic:cNvPicPr/>
                  </pic:nvPicPr>
                  <pic:blipFill>
                    <a:blip r:embed="rId23"/>
                    <a:stretch>
                      <a:fillRect/>
                    </a:stretch>
                  </pic:blipFill>
                  <pic:spPr>
                    <a:xfrm>
                      <a:off x="0" y="0"/>
                      <a:ext cx="1328572" cy="1312565"/>
                    </a:xfrm>
                    <a:prstGeom prst="rect">
                      <a:avLst/>
                    </a:prstGeom>
                  </pic:spPr>
                </pic:pic>
              </a:graphicData>
            </a:graphic>
          </wp:inline>
        </w:drawing>
      </w:r>
    </w:p>
    <w:p w14:paraId="0BCB2F65" w14:textId="5E55AE02" w:rsidR="00482D8F" w:rsidRPr="0027625A" w:rsidRDefault="00482D8F" w:rsidP="00107F81">
      <w:pPr>
        <w:jc w:val="center"/>
        <w:rPr>
          <w:rFonts w:cs="Arial"/>
          <w:szCs w:val="24"/>
        </w:rPr>
      </w:pPr>
    </w:p>
    <w:p w14:paraId="3F0F72D1" w14:textId="77777777" w:rsidR="0027625A" w:rsidRDefault="0027625A" w:rsidP="00DE0AAF"/>
    <w:p w14:paraId="681AE16A" w14:textId="77777777" w:rsidR="00411FA3" w:rsidRDefault="00411FA3" w:rsidP="00411FA3">
      <w:pPr>
        <w:rPr>
          <w:rFonts w:cs="Arial"/>
          <w:b/>
          <w:bCs/>
          <w:szCs w:val="24"/>
        </w:rPr>
      </w:pPr>
      <w:r>
        <w:rPr>
          <w:rFonts w:cs="Arial"/>
          <w:b/>
          <w:bCs/>
          <w:szCs w:val="24"/>
        </w:rPr>
        <w:t>Delivery</w:t>
      </w:r>
    </w:p>
    <w:p w14:paraId="6A4687BB" w14:textId="77777777" w:rsidR="00411FA3" w:rsidRDefault="00411FA3" w:rsidP="00411FA3">
      <w:pPr>
        <w:rPr>
          <w:rFonts w:cs="Arial"/>
          <w:szCs w:val="24"/>
        </w:rPr>
      </w:pPr>
    </w:p>
    <w:p w14:paraId="32130470" w14:textId="4282DE03" w:rsidR="00411FA3" w:rsidRPr="00411FA3" w:rsidRDefault="00411FA3" w:rsidP="00DE0AAF">
      <w:pPr>
        <w:rPr>
          <w:rFonts w:cs="Arial"/>
          <w:szCs w:val="24"/>
        </w:rPr>
      </w:pPr>
      <w:r>
        <w:rPr>
          <w:rFonts w:cs="Arial"/>
          <w:szCs w:val="24"/>
        </w:rPr>
        <w:t xml:space="preserve">Surrey County Council will deliver the Special Free School’s building </w:t>
      </w:r>
      <w:r w:rsidR="00235DE6">
        <w:rPr>
          <w:rFonts w:cs="Arial"/>
          <w:szCs w:val="24"/>
        </w:rPr>
        <w:t xml:space="preserve">development </w:t>
      </w:r>
      <w:r>
        <w:rPr>
          <w:rFonts w:cs="Arial"/>
          <w:szCs w:val="24"/>
        </w:rPr>
        <w:t>programme, acting as Client until the sponsor has been identified and confirmed by Secretary of State. The successful sponsor will join the building programme at Stage 4 (Detailed Design) Design &amp; Build towards the end of July 2022.</w:t>
      </w:r>
    </w:p>
    <w:p w14:paraId="42775D2E" w14:textId="77777777" w:rsidR="0027625A" w:rsidRDefault="0027625A" w:rsidP="00DE0AAF"/>
    <w:p w14:paraId="1C6D2F97" w14:textId="76B3C1A4" w:rsidR="00E666E2" w:rsidRPr="00411FA3" w:rsidRDefault="000F6F76" w:rsidP="00E666E2">
      <w:r>
        <w:t>When at full capacity, the school will cater for</w:t>
      </w:r>
      <w:r w:rsidR="00AE2108">
        <w:t xml:space="preserve"> </w:t>
      </w:r>
      <w:r w:rsidR="0027625A" w:rsidRPr="0027625A">
        <w:t>up to</w:t>
      </w:r>
      <w:r w:rsidRPr="0027625A">
        <w:t xml:space="preserve"> 200</w:t>
      </w:r>
      <w:r>
        <w:t xml:space="preserve"> pupils; in the first year, it is expected that there will be an intake of </w:t>
      </w:r>
      <w:r w:rsidR="00431A23">
        <w:t xml:space="preserve">up to </w:t>
      </w:r>
      <w:r w:rsidR="00457FFB">
        <w:t>80</w:t>
      </w:r>
      <w:r>
        <w:t xml:space="preserve"> pupils then growing over four years. </w:t>
      </w:r>
      <w:r w:rsidR="00E666E2">
        <w:t>It is expected that there will be 8 to 10 pupils per class in EYFS, KS1, KS2 and KS3 with 10 to 12 per class in KS4 and KS5.</w:t>
      </w:r>
    </w:p>
    <w:p w14:paraId="5949117B" w14:textId="23C78288" w:rsidR="00635402" w:rsidRDefault="000F6F76" w:rsidP="00DE0AAF">
      <w:r>
        <w:t>Admissions will be in line with the SEND Code of Practice</w:t>
      </w:r>
      <w:r w:rsidR="00AE2108">
        <w:t xml:space="preserve"> </w:t>
      </w:r>
      <w:bookmarkStart w:id="2" w:name="_Hlk93322540"/>
      <w:r w:rsidR="00AE2108">
        <w:t xml:space="preserve">and in line with </w:t>
      </w:r>
      <w:hyperlink r:id="rId24" w:history="1">
        <w:r w:rsidR="000F0D90">
          <w:rPr>
            <w:rStyle w:val="Hyperlink"/>
          </w:rPr>
          <w:t>Surrey's SEND Admissions process</w:t>
        </w:r>
      </w:hyperlink>
      <w:bookmarkEnd w:id="2"/>
      <w:r w:rsidR="000F0D90">
        <w:t>.</w:t>
      </w:r>
    </w:p>
    <w:p w14:paraId="56F0D224" w14:textId="32BC6099" w:rsidR="00635402" w:rsidRDefault="00635402" w:rsidP="00DE0AAF"/>
    <w:p w14:paraId="4E11DB8E" w14:textId="1B989A93" w:rsidR="00D748E2" w:rsidRDefault="00D748E2" w:rsidP="00D748E2">
      <w:pPr>
        <w:rPr>
          <w:b/>
          <w:bCs/>
        </w:rPr>
      </w:pPr>
      <w:r w:rsidRPr="00BB32A6">
        <w:rPr>
          <w:b/>
          <w:bCs/>
        </w:rPr>
        <w:t>Temporary Expansion Arrangements</w:t>
      </w:r>
      <w:r w:rsidR="00457FFB">
        <w:rPr>
          <w:b/>
          <w:bCs/>
        </w:rPr>
        <w:t xml:space="preserve"> </w:t>
      </w:r>
      <w:r w:rsidR="00EC1B8F">
        <w:rPr>
          <w:b/>
          <w:bCs/>
        </w:rPr>
        <w:t xml:space="preserve">in place </w:t>
      </w:r>
      <w:r w:rsidR="00457FFB">
        <w:rPr>
          <w:b/>
          <w:bCs/>
        </w:rPr>
        <w:t>from September 2022-July 2024</w:t>
      </w:r>
    </w:p>
    <w:p w14:paraId="404C2978" w14:textId="44DFBF4E" w:rsidR="00411FA3" w:rsidRDefault="00411FA3" w:rsidP="00D748E2">
      <w:pPr>
        <w:rPr>
          <w:b/>
          <w:bCs/>
        </w:rPr>
      </w:pPr>
    </w:p>
    <w:p w14:paraId="218AB26B" w14:textId="43C79EBA" w:rsidR="00411FA3" w:rsidRDefault="00411FA3" w:rsidP="00411FA3">
      <w:r w:rsidRPr="00411FA3">
        <w:t>In agreement with the Department for Education, the Local Authority wrote to Schools and Trusts in October 2021 seeking support from establishments (both Local Authority maintained and academies) that could manage a temporary expansion to accommodate up to 80 autistic pupils and those with Communication &amp; Interaction needs age 11-16 years who require a special school placement from September 2022.  This was so that immediate local demographic demand could be met while the Special Free School Presumption process is being concluded.</w:t>
      </w:r>
    </w:p>
    <w:p w14:paraId="5C211212" w14:textId="77777777" w:rsidR="00411FA3" w:rsidRPr="00411FA3" w:rsidRDefault="00411FA3" w:rsidP="00411FA3"/>
    <w:p w14:paraId="56BADD97" w14:textId="636492FC" w:rsidR="00411FA3" w:rsidRPr="00411FA3" w:rsidRDefault="00411FA3" w:rsidP="00411FA3">
      <w:r w:rsidRPr="00411FA3">
        <w:t>At the end of a competitive and quality assured Expression of Interest process, Bourne Education Trust and Matthew Arnold School was identified as the successful applicant for the temporary expansion arrangements</w:t>
      </w:r>
      <w:r w:rsidR="00E666E2">
        <w:t xml:space="preserve"> that will run from September 2022-July 2024</w:t>
      </w:r>
      <w:r w:rsidRPr="00411FA3">
        <w:t xml:space="preserve">. </w:t>
      </w:r>
      <w:r w:rsidR="00107F81">
        <w:t xml:space="preserve">Up to 80 </w:t>
      </w:r>
      <w:r w:rsidRPr="00411FA3">
        <w:t>pupils in Year 7 to Year 11 will move into the newly remodelled temporary satellite sites at the beginning of September 2022 This is with a view to</w:t>
      </w:r>
      <w:r w:rsidR="00E666E2">
        <w:t xml:space="preserve"> SCC undertaking EHCP consultation (</w:t>
      </w:r>
      <w:r w:rsidR="00E666E2" w:rsidRPr="00E666E2">
        <w:rPr>
          <w:szCs w:val="24"/>
        </w:rPr>
        <w:t xml:space="preserve">under </w:t>
      </w:r>
      <w:r w:rsidR="00E666E2" w:rsidRPr="00E666E2">
        <w:rPr>
          <w:rFonts w:eastAsia="Times New Roman" w:cs="Arial"/>
          <w:szCs w:val="24"/>
          <w:lang w:eastAsia="en-GB"/>
        </w:rPr>
        <w:t>S</w:t>
      </w:r>
      <w:r w:rsidR="00E666E2">
        <w:rPr>
          <w:rFonts w:eastAsia="Times New Roman" w:cs="Arial"/>
          <w:szCs w:val="24"/>
          <w:lang w:eastAsia="en-GB"/>
        </w:rPr>
        <w:t xml:space="preserve">ection </w:t>
      </w:r>
      <w:r w:rsidR="00E666E2" w:rsidRPr="00E666E2">
        <w:rPr>
          <w:rFonts w:eastAsia="Times New Roman" w:cs="Arial"/>
          <w:szCs w:val="24"/>
          <w:lang w:eastAsia="en-GB"/>
        </w:rPr>
        <w:t xml:space="preserve">39 (6) </w:t>
      </w:r>
      <w:r w:rsidR="00E666E2">
        <w:rPr>
          <w:rFonts w:eastAsia="Times New Roman" w:cs="Arial"/>
          <w:szCs w:val="24"/>
          <w:lang w:eastAsia="en-GB"/>
        </w:rPr>
        <w:t>Children &amp; Families Act,</w:t>
      </w:r>
      <w:r w:rsidR="00E666E2" w:rsidRPr="00E666E2">
        <w:rPr>
          <w:rFonts w:eastAsia="Times New Roman" w:cs="Arial"/>
          <w:szCs w:val="24"/>
          <w:lang w:eastAsia="en-GB"/>
        </w:rPr>
        <w:t xml:space="preserve"> 2014</w:t>
      </w:r>
      <w:r w:rsidR="00E666E2">
        <w:rPr>
          <w:rFonts w:eastAsia="Times New Roman" w:cs="Arial"/>
          <w:szCs w:val="24"/>
          <w:lang w:eastAsia="en-GB"/>
        </w:rPr>
        <w:t>)</w:t>
      </w:r>
      <w:r w:rsidRPr="00411FA3">
        <w:t xml:space="preserve"> </w:t>
      </w:r>
      <w:r w:rsidR="00E666E2">
        <w:t xml:space="preserve">to enable the </w:t>
      </w:r>
      <w:r w:rsidRPr="00411FA3">
        <w:t xml:space="preserve">pupils </w:t>
      </w:r>
      <w:r w:rsidR="00E666E2">
        <w:t xml:space="preserve">to </w:t>
      </w:r>
      <w:r w:rsidRPr="00411FA3">
        <w:t>transit</w:t>
      </w:r>
      <w:r w:rsidR="00E666E2">
        <w:t>ion</w:t>
      </w:r>
      <w:r w:rsidRPr="00411FA3">
        <w:t xml:space="preserve"> from </w:t>
      </w:r>
      <w:r w:rsidR="00E666E2">
        <w:t xml:space="preserve">the temporary arrangements </w:t>
      </w:r>
      <w:r w:rsidRPr="00411FA3">
        <w:t>to the permanent sponsor and new Special Free School site as the first intake in</w:t>
      </w:r>
      <w:r w:rsidR="00E666E2">
        <w:t xml:space="preserve"> readiness for</w:t>
      </w:r>
      <w:r w:rsidRPr="00411FA3">
        <w:t xml:space="preserve"> September 2024.</w:t>
      </w:r>
      <w:r w:rsidR="006954E3" w:rsidRPr="006954E3">
        <w:t xml:space="preserve"> </w:t>
      </w:r>
    </w:p>
    <w:p w14:paraId="7FD29E5A" w14:textId="77777777" w:rsidR="00D748E2" w:rsidRDefault="00D748E2" w:rsidP="00DE0AAF"/>
    <w:p w14:paraId="258E6BCE" w14:textId="0F96F4E8" w:rsidR="001B3E6D" w:rsidRDefault="00635402" w:rsidP="00DE0AAF">
      <w:r>
        <w:t xml:space="preserve">In terms of home to school transport, </w:t>
      </w:r>
      <w:r>
        <w:rPr>
          <w:rFonts w:cs="Arial"/>
        </w:rPr>
        <w:t>t</w:t>
      </w:r>
      <w:r w:rsidRPr="001337B2">
        <w:rPr>
          <w:rFonts w:cs="Arial"/>
        </w:rPr>
        <w:t xml:space="preserve">he proposed </w:t>
      </w:r>
      <w:r>
        <w:rPr>
          <w:rFonts w:cs="Arial"/>
        </w:rPr>
        <w:t>s</w:t>
      </w:r>
      <w:r w:rsidRPr="001337B2">
        <w:rPr>
          <w:rFonts w:cs="Arial"/>
        </w:rPr>
        <w:t xml:space="preserve">chool’s location in </w:t>
      </w:r>
      <w:r w:rsidR="002513D8">
        <w:rPr>
          <w:rFonts w:cs="Arial"/>
        </w:rPr>
        <w:t>Esher</w:t>
      </w:r>
      <w:r w:rsidR="002513D8" w:rsidRPr="001337B2">
        <w:rPr>
          <w:rFonts w:cs="Arial"/>
        </w:rPr>
        <w:t xml:space="preserve"> </w:t>
      </w:r>
      <w:r w:rsidRPr="001337B2">
        <w:rPr>
          <w:rFonts w:cs="Arial"/>
        </w:rPr>
        <w:t>is ideal</w:t>
      </w:r>
      <w:r w:rsidR="008461B6">
        <w:rPr>
          <w:rFonts w:cs="Arial"/>
        </w:rPr>
        <w:t xml:space="preserve">ly placed to </w:t>
      </w:r>
      <w:r w:rsidRPr="001337B2">
        <w:rPr>
          <w:rFonts w:cs="Arial"/>
        </w:rPr>
        <w:t>accommodat</w:t>
      </w:r>
      <w:r w:rsidR="008461B6">
        <w:rPr>
          <w:rFonts w:cs="Arial"/>
        </w:rPr>
        <w:t>e</w:t>
      </w:r>
      <w:r w:rsidRPr="001337B2">
        <w:rPr>
          <w:rFonts w:cs="Arial"/>
        </w:rPr>
        <w:t xml:space="preserve"> the demand for </w:t>
      </w:r>
      <w:r w:rsidRPr="005B3D1C">
        <w:rPr>
          <w:rFonts w:cs="Arial"/>
        </w:rPr>
        <w:t>A</w:t>
      </w:r>
      <w:r>
        <w:rPr>
          <w:rFonts w:cs="Arial"/>
        </w:rPr>
        <w:t xml:space="preserve">utism, </w:t>
      </w:r>
      <w:r w:rsidRPr="005B3D1C">
        <w:rPr>
          <w:rFonts w:cs="Arial"/>
        </w:rPr>
        <w:t>Communication &amp; Interaction Needs</w:t>
      </w:r>
      <w:r>
        <w:rPr>
          <w:rFonts w:cs="Arial"/>
        </w:rPr>
        <w:t xml:space="preserve"> </w:t>
      </w:r>
      <w:r w:rsidRPr="001337B2">
        <w:rPr>
          <w:rFonts w:cs="Arial"/>
        </w:rPr>
        <w:t xml:space="preserve">specialist school placements across the </w:t>
      </w:r>
      <w:r w:rsidR="002513D8">
        <w:rPr>
          <w:rFonts w:cs="Arial"/>
        </w:rPr>
        <w:t xml:space="preserve">North East and </w:t>
      </w:r>
      <w:r w:rsidRPr="001337B2">
        <w:rPr>
          <w:rFonts w:cs="Arial"/>
        </w:rPr>
        <w:t>North West quadrant</w:t>
      </w:r>
      <w:r w:rsidR="002513D8">
        <w:rPr>
          <w:rFonts w:cs="Arial"/>
        </w:rPr>
        <w:t>s</w:t>
      </w:r>
      <w:r w:rsidRPr="001337B2">
        <w:rPr>
          <w:rFonts w:cs="Arial"/>
        </w:rPr>
        <w:t xml:space="preserve"> and </w:t>
      </w:r>
      <w:r w:rsidR="002513D8">
        <w:rPr>
          <w:rFonts w:cs="Arial"/>
        </w:rPr>
        <w:t xml:space="preserve">the </w:t>
      </w:r>
      <w:r w:rsidRPr="001337B2">
        <w:rPr>
          <w:rFonts w:cs="Arial"/>
        </w:rPr>
        <w:t>wider county, thereby reducing travel times between home and school.</w:t>
      </w:r>
      <w:r w:rsidR="000F6F76">
        <w:t xml:space="preserve"> </w:t>
      </w:r>
      <w:r w:rsidR="00CE0925">
        <w:t>The site</w:t>
      </w:r>
      <w:r>
        <w:t xml:space="preserve"> is located close to the </w:t>
      </w:r>
      <w:r w:rsidR="00CE0925">
        <w:t>strategic</w:t>
      </w:r>
      <w:r>
        <w:t xml:space="preserve"> road network </w:t>
      </w:r>
      <w:r w:rsidR="00411FA3">
        <w:t>and within a mile of Esher railway station</w:t>
      </w:r>
      <w:r w:rsidR="00CE0925">
        <w:t>. Travel assistance will be in line with</w:t>
      </w:r>
      <w:r w:rsidR="000F0D90" w:rsidRPr="000F0D90">
        <w:t xml:space="preserve"> </w:t>
      </w:r>
      <w:hyperlink r:id="rId25" w:history="1">
        <w:r w:rsidR="000F0D90">
          <w:rPr>
            <w:rStyle w:val="Hyperlink"/>
          </w:rPr>
          <w:t>Surrey's Home to School Transport Policy</w:t>
        </w:r>
      </w:hyperlink>
    </w:p>
    <w:p w14:paraId="71725B72" w14:textId="253ECA08" w:rsidR="006C39D7" w:rsidRDefault="006C39D7" w:rsidP="00DE0AAF"/>
    <w:p w14:paraId="39C0B94A" w14:textId="77777777" w:rsidR="00107F81" w:rsidRDefault="00107F81">
      <w:pPr>
        <w:spacing w:after="200" w:line="276" w:lineRule="auto"/>
        <w:rPr>
          <w:b/>
          <w:bCs/>
        </w:rPr>
      </w:pPr>
      <w:r>
        <w:rPr>
          <w:b/>
          <w:bCs/>
        </w:rPr>
        <w:br w:type="page"/>
      </w:r>
    </w:p>
    <w:p w14:paraId="74D94EF9" w14:textId="2467B613" w:rsidR="006C39D7" w:rsidRPr="006C39D7" w:rsidRDefault="006C39D7" w:rsidP="00DE0AAF">
      <w:pPr>
        <w:rPr>
          <w:b/>
          <w:bCs/>
        </w:rPr>
      </w:pPr>
      <w:r w:rsidRPr="006C39D7">
        <w:rPr>
          <w:b/>
          <w:bCs/>
        </w:rPr>
        <w:lastRenderedPageBreak/>
        <w:t xml:space="preserve">Character / Ethos </w:t>
      </w:r>
    </w:p>
    <w:p w14:paraId="52312259" w14:textId="77777777" w:rsidR="006C39D7" w:rsidRDefault="006C39D7" w:rsidP="00DE0AAF"/>
    <w:p w14:paraId="515BBE1B" w14:textId="15F13564" w:rsidR="006C39D7" w:rsidRDefault="006C39D7" w:rsidP="006C39D7">
      <w:r>
        <w:t xml:space="preserve">The proposed new school </w:t>
      </w:r>
      <w:r w:rsidR="008461B6">
        <w:t>should</w:t>
      </w:r>
      <w:r>
        <w:t xml:space="preserve"> </w:t>
      </w:r>
      <w:r>
        <w:rPr>
          <w:rFonts w:cs="Arial"/>
        </w:rPr>
        <w:t xml:space="preserve">be aligned with </w:t>
      </w:r>
      <w:r w:rsidR="000F0D90">
        <w:rPr>
          <w:rFonts w:cs="Arial"/>
        </w:rPr>
        <w:t xml:space="preserve">the </w:t>
      </w:r>
      <w:hyperlink r:id="rId26" w:history="1">
        <w:r w:rsidR="008461B6">
          <w:rPr>
            <w:rStyle w:val="Hyperlink"/>
          </w:rPr>
          <w:t>Community vision for Surrey in 2030</w:t>
        </w:r>
      </w:hyperlink>
      <w:r>
        <w:rPr>
          <w:rFonts w:cs="Arial"/>
        </w:rPr>
        <w:t xml:space="preserve">, which seeks to realise the local area’s ambition that everyone benefits from education, skills and employment opportunities that help them to succeed in life. </w:t>
      </w:r>
      <w:r w:rsidR="008461B6">
        <w:rPr>
          <w:rFonts w:cs="Arial"/>
        </w:rPr>
        <w:t>Furthermore,</w:t>
      </w:r>
      <w:r w:rsidR="004E6E0E">
        <w:rPr>
          <w:rFonts w:cs="Arial"/>
        </w:rPr>
        <w:t xml:space="preserve"> the ethos of the new school </w:t>
      </w:r>
      <w:r>
        <w:rPr>
          <w:rFonts w:cs="Arial"/>
        </w:rPr>
        <w:t xml:space="preserve">should be shaped by </w:t>
      </w:r>
      <w:hyperlink r:id="rId27" w:history="1">
        <w:r w:rsidR="000F0D90">
          <w:rPr>
            <w:rStyle w:val="Hyperlink"/>
          </w:rPr>
          <w:t>Surrey's SEND Partnership Strategy 2019-2022</w:t>
        </w:r>
      </w:hyperlink>
      <w:r w:rsidR="004E6E0E">
        <w:t xml:space="preserve"> </w:t>
      </w:r>
      <w:r>
        <w:t>which emphasises the local area’s vision to ensure:</w:t>
      </w:r>
    </w:p>
    <w:p w14:paraId="2D05ACC0" w14:textId="77777777" w:rsidR="00333804" w:rsidRDefault="00333804" w:rsidP="006C39D7"/>
    <w:p w14:paraId="479901FA" w14:textId="07E42B66" w:rsidR="006C39D7" w:rsidRDefault="006C39D7" w:rsidP="00333804">
      <w:pPr>
        <w:pStyle w:val="ListParagraph"/>
        <w:numPr>
          <w:ilvl w:val="0"/>
          <w:numId w:val="17"/>
        </w:numPr>
      </w:pPr>
      <w:r>
        <w:t>Children and young people</w:t>
      </w:r>
      <w:r w:rsidR="004E6E0E">
        <w:t xml:space="preserve"> and their well-being</w:t>
      </w:r>
      <w:r>
        <w:t xml:space="preserve"> are at the centre of our thinking and that we work with families as partners in meeting their children or young people’s needs and planning how we will deliver support and provision in the future. </w:t>
      </w:r>
      <w:r w:rsidR="00333804">
        <w:br/>
      </w:r>
    </w:p>
    <w:p w14:paraId="53EDAA70" w14:textId="7D2231FE" w:rsidR="006C39D7" w:rsidRDefault="006C39D7" w:rsidP="00333804">
      <w:pPr>
        <w:pStyle w:val="ListParagraph"/>
        <w:numPr>
          <w:ilvl w:val="0"/>
          <w:numId w:val="17"/>
        </w:numPr>
      </w:pPr>
      <w:r>
        <w:t xml:space="preserve">All places, settings and organisations that provide education and/or support to children and their families are welcoming of children and young people with SEND and have a better understanding of their needs. </w:t>
      </w:r>
      <w:r w:rsidR="00333804">
        <w:br/>
      </w:r>
    </w:p>
    <w:p w14:paraId="5FB063A0" w14:textId="00B7E43E" w:rsidR="006C39D7" w:rsidRDefault="006C39D7" w:rsidP="00333804">
      <w:pPr>
        <w:pStyle w:val="ListParagraph"/>
        <w:numPr>
          <w:ilvl w:val="0"/>
          <w:numId w:val="17"/>
        </w:numPr>
      </w:pPr>
      <w:r>
        <w:t xml:space="preserve">When new provision and support is created, that Health, </w:t>
      </w:r>
      <w:r w:rsidR="0094546F">
        <w:t>Education,</w:t>
      </w:r>
      <w:r>
        <w:t xml:space="preserve"> and the Local Authority share responsibility to ensure that high quality support is in place for children, young </w:t>
      </w:r>
      <w:r w:rsidR="008461B6">
        <w:t>people,</w:t>
      </w:r>
      <w:r>
        <w:t xml:space="preserve"> and families when and where they need it. </w:t>
      </w:r>
      <w:r w:rsidR="00333804">
        <w:br/>
      </w:r>
    </w:p>
    <w:p w14:paraId="0CEAE245" w14:textId="1BBE5DC4" w:rsidR="006C39D7" w:rsidRDefault="006C39D7" w:rsidP="00333804">
      <w:pPr>
        <w:pStyle w:val="ListParagraph"/>
        <w:numPr>
          <w:ilvl w:val="0"/>
          <w:numId w:val="17"/>
        </w:numPr>
      </w:pPr>
      <w:r>
        <w:t xml:space="preserve">Children and young people with SEND can access the help and support they need to thrive and achieve within their local communities. They can go to local education provision that meets their needs, access services and play an active role in the community close to where they live. </w:t>
      </w:r>
      <w:r w:rsidR="00333804">
        <w:br/>
      </w:r>
    </w:p>
    <w:p w14:paraId="29F72F2F" w14:textId="711FE44B" w:rsidR="006C39D7" w:rsidRDefault="006C39D7" w:rsidP="00333804">
      <w:pPr>
        <w:pStyle w:val="ListParagraph"/>
        <w:numPr>
          <w:ilvl w:val="0"/>
          <w:numId w:val="17"/>
        </w:numPr>
      </w:pPr>
      <w:r>
        <w:t xml:space="preserve">Families have easy access to information which helps them understand how best to support their child or young person’s needs and access the help that is offered. </w:t>
      </w:r>
      <w:r w:rsidR="00333804">
        <w:br/>
      </w:r>
    </w:p>
    <w:p w14:paraId="0AD9E7CF" w14:textId="69AFAA01" w:rsidR="006C39D7" w:rsidRDefault="006C39D7" w:rsidP="00333804">
      <w:pPr>
        <w:pStyle w:val="ListParagraph"/>
        <w:numPr>
          <w:ilvl w:val="0"/>
          <w:numId w:val="17"/>
        </w:numPr>
      </w:pPr>
      <w:r>
        <w:t xml:space="preserve">Children, young </w:t>
      </w:r>
      <w:r w:rsidR="004E6E0E">
        <w:t>people,</w:t>
      </w:r>
      <w:r>
        <w:t xml:space="preserve"> and families have access to the same level of high-quality support and education, wherever they live in Surrey. </w:t>
      </w:r>
      <w:r w:rsidR="00333804">
        <w:br/>
      </w:r>
    </w:p>
    <w:p w14:paraId="4CB36690" w14:textId="037B0FFF" w:rsidR="006C39D7" w:rsidRDefault="006C39D7" w:rsidP="00333804">
      <w:pPr>
        <w:pStyle w:val="ListParagraph"/>
        <w:numPr>
          <w:ilvl w:val="0"/>
          <w:numId w:val="17"/>
        </w:numPr>
      </w:pPr>
      <w:r>
        <w:t>We have a good</w:t>
      </w:r>
      <w:r w:rsidR="00333804">
        <w:t>,</w:t>
      </w:r>
      <w:r>
        <w:t xml:space="preserve"> shared understanding of our children and young people who have SEND in Surrey and our support offer matches their identified needs.</w:t>
      </w:r>
    </w:p>
    <w:p w14:paraId="7DD839A6" w14:textId="6B288552" w:rsidR="000F6F76" w:rsidRDefault="000F6F76" w:rsidP="00DE0AAF"/>
    <w:p w14:paraId="6C879B18" w14:textId="4F4F1CE4" w:rsidR="00C35093" w:rsidRDefault="00C35093" w:rsidP="00DE0AAF">
      <w:r>
        <w:t>SCC has carried out an Equalities Impact Assessment, which is available</w:t>
      </w:r>
      <w:r w:rsidR="004F6792">
        <w:t xml:space="preserve"> </w:t>
      </w:r>
      <w:hyperlink r:id="rId28" w:history="1">
        <w:r w:rsidR="004F6792" w:rsidRPr="006C55F7">
          <w:rPr>
            <w:rStyle w:val="Hyperlink"/>
          </w:rPr>
          <w:t>he</w:t>
        </w:r>
        <w:r w:rsidR="004F6792" w:rsidRPr="006C55F7">
          <w:rPr>
            <w:rStyle w:val="Hyperlink"/>
          </w:rPr>
          <w:t>r</w:t>
        </w:r>
        <w:r w:rsidR="004F6792" w:rsidRPr="006C55F7">
          <w:rPr>
            <w:rStyle w:val="Hyperlink"/>
          </w:rPr>
          <w:t>e</w:t>
        </w:r>
      </w:hyperlink>
      <w:r>
        <w:t>.</w:t>
      </w:r>
      <w:r w:rsidR="00556039">
        <w:t xml:space="preserve"> </w:t>
      </w:r>
    </w:p>
    <w:p w14:paraId="2EC44F68" w14:textId="3C271489" w:rsidR="00DE0AAF" w:rsidRDefault="00DE0AAF" w:rsidP="00DE0AAF"/>
    <w:p w14:paraId="424B97BF" w14:textId="69095B44" w:rsidR="00DE0AAF" w:rsidRDefault="00DE0AAF" w:rsidP="00DE0AAF"/>
    <w:p w14:paraId="03D217E9" w14:textId="716F58A4" w:rsidR="00DE0AAF" w:rsidRPr="00211750" w:rsidRDefault="00DE0AAF" w:rsidP="00DE0AAF">
      <w:pPr>
        <w:pStyle w:val="Heading2"/>
      </w:pPr>
      <w:r w:rsidRPr="00DE0AAF">
        <w:t>Section C - Vision</w:t>
      </w:r>
    </w:p>
    <w:p w14:paraId="508BD020" w14:textId="77777777" w:rsidR="00EA667F" w:rsidRDefault="001A067D" w:rsidP="00EA667F">
      <w:r w:rsidRPr="001A067D">
        <w:rPr>
          <w:color w:val="000000" w:themeColor="text1"/>
        </w:rPr>
        <w:t>This is your opportunity to tell us in your own words about the overarching vision for your school and how it informs your education plan. You will need to demonstrate in later sections that the vision is both deliverable and affordable within the available funding. Your vision should be coherent and consistent with the other sections of your application.</w:t>
      </w:r>
      <w:r>
        <w:rPr>
          <w:color w:val="000000" w:themeColor="text1"/>
        </w:rPr>
        <w:t xml:space="preserve"> </w:t>
      </w:r>
      <w:r w:rsidR="00EA667F">
        <w:t xml:space="preserve">Applications should evidence of all the relevant criteria in </w:t>
      </w:r>
      <w:hyperlink r:id="rId29" w:history="1">
        <w:r w:rsidR="00EA667F">
          <w:rPr>
            <w:rStyle w:val="Hyperlink"/>
          </w:rPr>
          <w:t>Annex C</w:t>
        </w:r>
      </w:hyperlink>
      <w:r w:rsidR="00EA667F">
        <w:t xml:space="preserve"> of the free school presumption guidance. </w:t>
      </w:r>
    </w:p>
    <w:p w14:paraId="2E312F52" w14:textId="1EBC3252" w:rsidR="00813173" w:rsidRDefault="00813173" w:rsidP="00813173"/>
    <w:p w14:paraId="55E268E9" w14:textId="2FF13581" w:rsidR="00813173" w:rsidRDefault="00813173" w:rsidP="00DE0AAF">
      <w:pPr>
        <w:rPr>
          <w:color w:val="000000" w:themeColor="text1"/>
        </w:rPr>
      </w:pPr>
    </w:p>
    <w:p w14:paraId="5BB8C4FC" w14:textId="40E2BFBC" w:rsidR="00DE0AAF" w:rsidRDefault="00142376" w:rsidP="00DE0AAF">
      <w:r>
        <w:t>P</w:t>
      </w:r>
      <w:r w:rsidR="00DE0AAF">
        <w:t xml:space="preserve">lease </w:t>
      </w:r>
      <w:r>
        <w:t xml:space="preserve">also </w:t>
      </w:r>
      <w:r w:rsidR="00DE0AAF">
        <w:t>ensure you include the following:</w:t>
      </w:r>
    </w:p>
    <w:p w14:paraId="613E2CF7" w14:textId="77777777" w:rsidR="00AE2108" w:rsidRDefault="00AE2108" w:rsidP="00DE0AAF"/>
    <w:p w14:paraId="1A1148A3" w14:textId="5A25FC16" w:rsidR="00CA4801" w:rsidRDefault="00142376" w:rsidP="00CA4801">
      <w:pPr>
        <w:pStyle w:val="ListParagraph"/>
        <w:numPr>
          <w:ilvl w:val="0"/>
          <w:numId w:val="7"/>
        </w:numPr>
      </w:pPr>
      <w:r>
        <w:t>Clear evidence</w:t>
      </w:r>
      <w:r w:rsidR="00CA4801">
        <w:t xml:space="preserve"> of how your school will align with </w:t>
      </w:r>
      <w:hyperlink r:id="rId30" w:history="1">
        <w:r w:rsidR="004E6E0E">
          <w:rPr>
            <w:rStyle w:val="Hyperlink"/>
          </w:rPr>
          <w:t>Surrey's All-Age Autism Strategy 2021-2026</w:t>
        </w:r>
      </w:hyperlink>
      <w:r w:rsidR="004E6E0E">
        <w:t xml:space="preserve"> </w:t>
      </w:r>
      <w:r w:rsidR="00CA4801">
        <w:t>to improve the lives of autistic people living in the county</w:t>
      </w:r>
      <w:r w:rsidR="00B725ED">
        <w:t xml:space="preserve">. </w:t>
      </w:r>
      <w:r w:rsidR="00CA4801">
        <w:t xml:space="preserve">This needs to include </w:t>
      </w:r>
      <w:r w:rsidR="00CA4801" w:rsidRPr="004E6E0E">
        <w:t>opportunities for Surrey's autistic pupils</w:t>
      </w:r>
      <w:r w:rsidR="00B725ED">
        <w:t xml:space="preserve"> that require a special school placement</w:t>
      </w:r>
      <w:r w:rsidR="00CA4801" w:rsidRPr="004E6E0E">
        <w:t xml:space="preserve"> to</w:t>
      </w:r>
      <w:r w:rsidR="00B725ED">
        <w:t xml:space="preserve"> achieve their full potential, be independent,</w:t>
      </w:r>
      <w:r w:rsidR="00CA4801" w:rsidRPr="004E6E0E">
        <w:t xml:space="preserve"> live</w:t>
      </w:r>
      <w:r>
        <w:t xml:space="preserve"> </w:t>
      </w:r>
      <w:r w:rsidR="00CA4801" w:rsidRPr="004E6E0E">
        <w:t>healthy and fulfilling lives, where their contributions to their local</w:t>
      </w:r>
      <w:r w:rsidR="00CA4801">
        <w:t xml:space="preserve"> </w:t>
      </w:r>
      <w:r w:rsidR="00CA4801" w:rsidRPr="004E6E0E">
        <w:t xml:space="preserve">communities are welcomed, </w:t>
      </w:r>
      <w:r w:rsidR="004E6E0E" w:rsidRPr="004E6E0E">
        <w:t>supported,</w:t>
      </w:r>
      <w:r w:rsidR="00CA4801" w:rsidRPr="004E6E0E">
        <w:t xml:space="preserve"> and valued, and no-one is left behind.</w:t>
      </w:r>
    </w:p>
    <w:p w14:paraId="7060EA95" w14:textId="77777777" w:rsidR="001A067D" w:rsidRDefault="001A067D" w:rsidP="001A067D">
      <w:pPr>
        <w:pStyle w:val="ListParagraph"/>
        <w:numPr>
          <w:ilvl w:val="0"/>
          <w:numId w:val="0"/>
        </w:numPr>
        <w:ind w:left="360"/>
      </w:pPr>
    </w:p>
    <w:p w14:paraId="7E44C2C3" w14:textId="329C29A6" w:rsidR="001A067D" w:rsidRDefault="001A067D" w:rsidP="001A067D">
      <w:pPr>
        <w:pStyle w:val="ListParagraph"/>
        <w:numPr>
          <w:ilvl w:val="0"/>
          <w:numId w:val="7"/>
        </w:numPr>
      </w:pPr>
      <w:r>
        <w:t>A strong educational vision and how this informs your education plan, based on high standards of attainment for autistic pupils following differing educational pathways at each key stage. Reference should be made to learning pathways that offer vocational as well as academic study.</w:t>
      </w:r>
    </w:p>
    <w:p w14:paraId="46788EF6" w14:textId="77777777" w:rsidR="00CA4801" w:rsidRDefault="00CA4801" w:rsidP="004E6E0E">
      <w:pPr>
        <w:pStyle w:val="ListParagraph"/>
        <w:numPr>
          <w:ilvl w:val="0"/>
          <w:numId w:val="0"/>
        </w:numPr>
        <w:ind w:left="360"/>
      </w:pPr>
    </w:p>
    <w:p w14:paraId="75811723" w14:textId="73C8588A" w:rsidR="00142376" w:rsidRDefault="005A4379" w:rsidP="001A067D">
      <w:pPr>
        <w:pStyle w:val="ListParagraph"/>
        <w:numPr>
          <w:ilvl w:val="0"/>
          <w:numId w:val="7"/>
        </w:numPr>
      </w:pPr>
      <w:r>
        <w:t xml:space="preserve">A </w:t>
      </w:r>
      <w:r w:rsidR="00674A1E" w:rsidRPr="00674A1E">
        <w:t>person</w:t>
      </w:r>
      <w:r>
        <w:t xml:space="preserve">-centred </w:t>
      </w:r>
      <w:r w:rsidR="00674A1E" w:rsidRPr="00674A1E">
        <w:t xml:space="preserve">development </w:t>
      </w:r>
      <w:r>
        <w:t>strategy that underpins the educational vision and</w:t>
      </w:r>
      <w:r w:rsidR="00674A1E" w:rsidRPr="00674A1E">
        <w:t xml:space="preserve"> nurtures the </w:t>
      </w:r>
      <w:r w:rsidR="00A60116">
        <w:t>abilities</w:t>
      </w:r>
      <w:r w:rsidR="00674A1E" w:rsidRPr="00674A1E">
        <w:t xml:space="preserve"> of all</w:t>
      </w:r>
      <w:r w:rsidR="00A60116">
        <w:t xml:space="preserve"> </w:t>
      </w:r>
      <w:r w:rsidR="00B725ED">
        <w:t xml:space="preserve">autistic </w:t>
      </w:r>
      <w:r w:rsidR="00A60116">
        <w:t>pupils</w:t>
      </w:r>
      <w:r>
        <w:t xml:space="preserve"> to</w:t>
      </w:r>
      <w:r w:rsidR="00674A1E" w:rsidRPr="00674A1E">
        <w:t xml:space="preserve"> promote identity, emotional understanding, and overall well-being. This is to ensure that all pupils at the </w:t>
      </w:r>
      <w:r w:rsidR="00B725ED">
        <w:t xml:space="preserve">special </w:t>
      </w:r>
      <w:r w:rsidR="00674A1E" w:rsidRPr="00674A1E">
        <w:t>school are healthy, safe, engaged, supported, and challenged within a positive school climate.</w:t>
      </w:r>
      <w:r w:rsidR="00674A1E">
        <w:br/>
      </w:r>
    </w:p>
    <w:p w14:paraId="199E8C6F" w14:textId="02018FDE" w:rsidR="000E46B8" w:rsidRDefault="00DE0AAF" w:rsidP="00AE2108">
      <w:pPr>
        <w:pStyle w:val="ListParagraph"/>
        <w:numPr>
          <w:ilvl w:val="0"/>
          <w:numId w:val="7"/>
        </w:numPr>
      </w:pPr>
      <w:r>
        <w:t xml:space="preserve">Excellent support facilities to meet the needs of all </w:t>
      </w:r>
      <w:r w:rsidR="004F15BA">
        <w:t>pupils</w:t>
      </w:r>
      <w:r w:rsidR="005A4379">
        <w:t xml:space="preserve"> and their families</w:t>
      </w:r>
      <w:r>
        <w:t>, including</w:t>
      </w:r>
      <w:r w:rsidR="000E46B8">
        <w:t>:</w:t>
      </w:r>
    </w:p>
    <w:p w14:paraId="65371CE9" w14:textId="77777777" w:rsidR="000E46B8" w:rsidRDefault="000E46B8" w:rsidP="000E46B8"/>
    <w:p w14:paraId="25BFFFFF" w14:textId="39BFA5AA" w:rsidR="000E46B8" w:rsidRDefault="000E46B8" w:rsidP="000E46B8">
      <w:pPr>
        <w:pStyle w:val="ListParagraph"/>
        <w:numPr>
          <w:ilvl w:val="1"/>
          <w:numId w:val="7"/>
        </w:numPr>
      </w:pPr>
      <w:r>
        <w:t>L</w:t>
      </w:r>
      <w:r w:rsidR="00DE0AAF">
        <w:t xml:space="preserve">ooked </w:t>
      </w:r>
      <w:r w:rsidR="008461B6">
        <w:t>a</w:t>
      </w:r>
      <w:r w:rsidR="00DE0AAF">
        <w:t xml:space="preserve">fter </w:t>
      </w:r>
      <w:r w:rsidR="008461B6">
        <w:t>c</w:t>
      </w:r>
      <w:r w:rsidR="00DE0AAF">
        <w:t>hildren</w:t>
      </w:r>
    </w:p>
    <w:p w14:paraId="7E48302D" w14:textId="30BD15D6" w:rsidR="008461B6" w:rsidRDefault="008461B6" w:rsidP="000E46B8">
      <w:pPr>
        <w:pStyle w:val="ListParagraph"/>
        <w:numPr>
          <w:ilvl w:val="1"/>
          <w:numId w:val="7"/>
        </w:numPr>
      </w:pPr>
      <w:r>
        <w:t>Care leavers</w:t>
      </w:r>
    </w:p>
    <w:p w14:paraId="3332A769" w14:textId="77777777" w:rsidR="000E46B8" w:rsidRDefault="000E46B8" w:rsidP="000E46B8">
      <w:pPr>
        <w:pStyle w:val="ListParagraph"/>
        <w:numPr>
          <w:ilvl w:val="1"/>
          <w:numId w:val="7"/>
        </w:numPr>
      </w:pPr>
      <w:r>
        <w:t>Children and young people living in poverty</w:t>
      </w:r>
    </w:p>
    <w:p w14:paraId="22F90EBE" w14:textId="77777777" w:rsidR="000E46B8" w:rsidRDefault="000E46B8" w:rsidP="000E46B8">
      <w:pPr>
        <w:pStyle w:val="ListParagraph"/>
        <w:numPr>
          <w:ilvl w:val="1"/>
          <w:numId w:val="7"/>
        </w:numPr>
      </w:pPr>
      <w:r>
        <w:t>Excluded pupils and those at risk of exclusion</w:t>
      </w:r>
    </w:p>
    <w:p w14:paraId="53F177D3" w14:textId="1113516F" w:rsidR="000E46B8" w:rsidRDefault="000E46B8" w:rsidP="000E46B8">
      <w:pPr>
        <w:pStyle w:val="ListParagraph"/>
        <w:numPr>
          <w:ilvl w:val="1"/>
          <w:numId w:val="7"/>
        </w:numPr>
      </w:pPr>
      <w:r>
        <w:t>Pupils with attendance</w:t>
      </w:r>
      <w:r w:rsidR="008461B6">
        <w:t xml:space="preserve"> or persistent absence</w:t>
      </w:r>
      <w:r>
        <w:t xml:space="preserve"> issues </w:t>
      </w:r>
    </w:p>
    <w:p w14:paraId="3C850D6A" w14:textId="18E5021C" w:rsidR="000E46B8" w:rsidRDefault="000E46B8" w:rsidP="000E46B8">
      <w:pPr>
        <w:pStyle w:val="ListParagraph"/>
        <w:numPr>
          <w:ilvl w:val="1"/>
          <w:numId w:val="7"/>
        </w:numPr>
      </w:pPr>
      <w:r>
        <w:t xml:space="preserve">Gypsy, </w:t>
      </w:r>
      <w:r w:rsidR="00813173">
        <w:t>Roma,</w:t>
      </w:r>
      <w:r>
        <w:t xml:space="preserve"> and Traveller pupils</w:t>
      </w:r>
    </w:p>
    <w:p w14:paraId="25E58019" w14:textId="457340EA" w:rsidR="00DE0AAF" w:rsidRDefault="008461B6" w:rsidP="000E46B8">
      <w:pPr>
        <w:pStyle w:val="ListParagraph"/>
        <w:numPr>
          <w:ilvl w:val="1"/>
          <w:numId w:val="7"/>
        </w:numPr>
      </w:pPr>
      <w:r>
        <w:t xml:space="preserve">Asylum seekers, </w:t>
      </w:r>
      <w:r w:rsidR="00813173">
        <w:t>refugees,</w:t>
      </w:r>
      <w:r>
        <w:t xml:space="preserve"> and new migrants</w:t>
      </w:r>
      <w:r w:rsidR="00AE2108">
        <w:br/>
      </w:r>
    </w:p>
    <w:p w14:paraId="12B61E3E" w14:textId="6CB9E4CB" w:rsidR="00DE0AAF" w:rsidRPr="008C34B2" w:rsidRDefault="008C34B2" w:rsidP="00DE0AAF">
      <w:pPr>
        <w:pStyle w:val="ListParagraph"/>
        <w:numPr>
          <w:ilvl w:val="0"/>
          <w:numId w:val="7"/>
        </w:numPr>
        <w:rPr>
          <w:rFonts w:cs="Arial"/>
          <w:szCs w:val="24"/>
        </w:rPr>
      </w:pPr>
      <w:r>
        <w:t>C</w:t>
      </w:r>
      <w:r w:rsidR="00DE0AAF">
        <w:t>ommitment to excellent outcomes and high quality of teaching and learning</w:t>
      </w:r>
      <w:r w:rsidR="00142376">
        <w:t xml:space="preserve"> </w:t>
      </w:r>
      <w:r w:rsidR="00142376" w:rsidRPr="004F15BA">
        <w:rPr>
          <w:rFonts w:cs="Arial"/>
          <w:szCs w:val="24"/>
        </w:rPr>
        <w:t xml:space="preserve">that enables autistic pupils to </w:t>
      </w:r>
      <w:r w:rsidR="004F15BA" w:rsidRPr="004F15BA">
        <w:rPr>
          <w:rFonts w:cs="Arial"/>
          <w:szCs w:val="24"/>
        </w:rPr>
        <w:t xml:space="preserve">be </w:t>
      </w:r>
      <w:r w:rsidR="004F15BA" w:rsidRPr="004F15BA">
        <w:rPr>
          <w:rFonts w:cs="Arial"/>
          <w:color w:val="000000"/>
          <w:szCs w:val="24"/>
          <w:shd w:val="clear" w:color="auto" w:fill="FFFFFF"/>
        </w:rPr>
        <w:t>successful, self-aware, proud, happy, and independent young people</w:t>
      </w:r>
      <w:r w:rsidR="008461B6">
        <w:rPr>
          <w:rFonts w:cs="Arial"/>
          <w:color w:val="000000"/>
          <w:szCs w:val="24"/>
          <w:shd w:val="clear" w:color="auto" w:fill="FFFFFF"/>
        </w:rPr>
        <w:t>;</w:t>
      </w:r>
      <w:r w:rsidR="004F15BA" w:rsidRPr="004F15BA">
        <w:rPr>
          <w:rFonts w:cs="Arial"/>
          <w:color w:val="000000"/>
          <w:szCs w:val="24"/>
          <w:shd w:val="clear" w:color="auto" w:fill="FFFFFF"/>
        </w:rPr>
        <w:t xml:space="preserve"> able to live and study independently and pursue a variety of careers.</w:t>
      </w:r>
    </w:p>
    <w:p w14:paraId="33AB042A" w14:textId="77777777" w:rsidR="008C34B2" w:rsidRDefault="008C34B2" w:rsidP="008C34B2">
      <w:pPr>
        <w:pStyle w:val="ListParagraph"/>
        <w:numPr>
          <w:ilvl w:val="0"/>
          <w:numId w:val="0"/>
        </w:numPr>
        <w:ind w:left="360"/>
      </w:pPr>
    </w:p>
    <w:p w14:paraId="6962EFBE" w14:textId="009F33CF" w:rsidR="008C34B2" w:rsidRPr="008461B6" w:rsidRDefault="008C34B2" w:rsidP="008461B6">
      <w:pPr>
        <w:pStyle w:val="ListParagraph"/>
        <w:numPr>
          <w:ilvl w:val="0"/>
          <w:numId w:val="7"/>
        </w:numPr>
      </w:pPr>
      <w:r>
        <w:t>If you have more than one school in your Trust, the overarching vision for your chain of schools and your planned expansion strategy (including how many schools you have in total, geographical, spread and timescales).</w:t>
      </w:r>
    </w:p>
    <w:p w14:paraId="3DA706B1" w14:textId="6370218E" w:rsidR="00844FEE" w:rsidRPr="008C34B2" w:rsidRDefault="00844FEE" w:rsidP="00844FEE">
      <w:pPr>
        <w:rPr>
          <w:rFonts w:cs="Arial"/>
          <w:szCs w:val="24"/>
        </w:rPr>
      </w:pPr>
    </w:p>
    <w:p w14:paraId="5FC432A7" w14:textId="77777777" w:rsidR="00844FEE" w:rsidRDefault="00844FEE" w:rsidP="00844FEE"/>
    <w:p w14:paraId="13D7C54D" w14:textId="67DB4EEF" w:rsidR="00844FEE" w:rsidRDefault="00844FEE" w:rsidP="00844FEE">
      <w:pPr>
        <w:rPr>
          <w:rFonts w:cs="Arial"/>
          <w:color w:val="0B0C0C"/>
          <w:lang w:eastAsia="en-GB"/>
        </w:rPr>
      </w:pPr>
      <w:r>
        <w:t xml:space="preserve">In addition, applicants are encouraged to provide </w:t>
      </w:r>
      <w:r>
        <w:rPr>
          <w:rFonts w:cs="Arial"/>
          <w:color w:val="0B0C0C"/>
          <w:lang w:eastAsia="en-GB"/>
        </w:rPr>
        <w:t>the following detail:</w:t>
      </w:r>
    </w:p>
    <w:p w14:paraId="03ED2331" w14:textId="77777777" w:rsidR="00844FEE" w:rsidRDefault="00844FEE" w:rsidP="00844FEE">
      <w:pPr>
        <w:rPr>
          <w:rFonts w:cs="Arial"/>
          <w:color w:val="0B0C0C"/>
          <w:lang w:eastAsia="en-GB"/>
        </w:rPr>
      </w:pPr>
    </w:p>
    <w:p w14:paraId="57B8C648" w14:textId="1DE3CF21" w:rsidR="00844FEE" w:rsidRPr="00E45FD7" w:rsidRDefault="00844FEE" w:rsidP="00844FEE">
      <w:pPr>
        <w:pStyle w:val="ListParagraph"/>
        <w:numPr>
          <w:ilvl w:val="0"/>
          <w:numId w:val="7"/>
        </w:numPr>
        <w:rPr>
          <w:rFonts w:cs="Arial"/>
          <w:color w:val="0B0C0C"/>
          <w:lang w:eastAsia="en-GB"/>
        </w:rPr>
      </w:pPr>
      <w:r w:rsidRPr="00E45FD7">
        <w:rPr>
          <w:rFonts w:cs="Arial"/>
          <w:color w:val="0B0C0C"/>
          <w:lang w:eastAsia="en-GB"/>
        </w:rPr>
        <w:t xml:space="preserve">a brief </w:t>
      </w:r>
      <w:r w:rsidRPr="00844FEE">
        <w:t>explanation</w:t>
      </w:r>
      <w:r w:rsidRPr="00E45FD7">
        <w:rPr>
          <w:rFonts w:cs="Arial"/>
          <w:color w:val="0B0C0C"/>
          <w:lang w:eastAsia="en-GB"/>
        </w:rPr>
        <w:t xml:space="preserve"> of </w:t>
      </w:r>
      <w:r w:rsidR="004F15BA">
        <w:rPr>
          <w:rFonts w:cs="Arial"/>
          <w:color w:val="0B0C0C"/>
          <w:lang w:eastAsia="en-GB"/>
        </w:rPr>
        <w:t xml:space="preserve">autism </w:t>
      </w:r>
      <w:r w:rsidRPr="00E45FD7">
        <w:rPr>
          <w:rFonts w:cs="Arial"/>
          <w:color w:val="0B0C0C"/>
          <w:lang w:eastAsia="en-GB"/>
        </w:rPr>
        <w:t xml:space="preserve">specialism, particular ethos, distinctive </w:t>
      </w:r>
      <w:r w:rsidR="0094546F" w:rsidRPr="00E45FD7">
        <w:rPr>
          <w:rFonts w:cs="Arial"/>
          <w:color w:val="0B0C0C"/>
          <w:lang w:eastAsia="en-GB"/>
        </w:rPr>
        <w:t>pedagogy,</w:t>
      </w:r>
      <w:r w:rsidRPr="00E45FD7">
        <w:rPr>
          <w:rFonts w:cs="Arial"/>
          <w:color w:val="0B0C0C"/>
          <w:lang w:eastAsia="en-GB"/>
        </w:rPr>
        <w:t xml:space="preserve"> or educational philosophy</w:t>
      </w:r>
      <w:r w:rsidR="004F15BA">
        <w:rPr>
          <w:rFonts w:cs="Arial"/>
          <w:color w:val="0B0C0C"/>
          <w:lang w:eastAsia="en-GB"/>
        </w:rPr>
        <w:t>. This needs to</w:t>
      </w:r>
      <w:r w:rsidR="005C6AD0">
        <w:rPr>
          <w:rFonts w:cs="Arial"/>
          <w:color w:val="0B0C0C"/>
          <w:lang w:eastAsia="en-GB"/>
        </w:rPr>
        <w:t xml:space="preserve"> also </w:t>
      </w:r>
      <w:r w:rsidR="008C34B2">
        <w:rPr>
          <w:rFonts w:cs="Arial"/>
          <w:color w:val="0B0C0C"/>
          <w:lang w:eastAsia="en-GB"/>
        </w:rPr>
        <w:t>detail specific</w:t>
      </w:r>
      <w:r w:rsidR="005C6AD0">
        <w:rPr>
          <w:rFonts w:cs="Arial"/>
          <w:color w:val="0B0C0C"/>
          <w:lang w:eastAsia="en-GB"/>
        </w:rPr>
        <w:t xml:space="preserve"> </w:t>
      </w:r>
      <w:r w:rsidR="008C34B2">
        <w:rPr>
          <w:rFonts w:cs="Arial"/>
          <w:color w:val="0B0C0C"/>
          <w:lang w:eastAsia="en-GB"/>
        </w:rPr>
        <w:t xml:space="preserve">differing </w:t>
      </w:r>
      <w:r w:rsidR="005C6AD0">
        <w:rPr>
          <w:rFonts w:cs="Arial"/>
          <w:color w:val="0B0C0C"/>
          <w:lang w:eastAsia="en-GB"/>
        </w:rPr>
        <w:t xml:space="preserve">approaches to </w:t>
      </w:r>
      <w:r w:rsidR="008C34B2">
        <w:rPr>
          <w:rFonts w:cs="Arial"/>
          <w:color w:val="0B0C0C"/>
          <w:lang w:eastAsia="en-GB"/>
        </w:rPr>
        <w:t xml:space="preserve">educating autistic girls and boys and how this will be </w:t>
      </w:r>
      <w:r w:rsidR="008461B6">
        <w:rPr>
          <w:rFonts w:cs="Arial"/>
          <w:color w:val="0B0C0C"/>
          <w:lang w:eastAsia="en-GB"/>
        </w:rPr>
        <w:t>managed within a coeducational offer.</w:t>
      </w:r>
      <w:r>
        <w:rPr>
          <w:rFonts w:cs="Arial"/>
          <w:color w:val="0B0C0C"/>
          <w:lang w:eastAsia="en-GB"/>
        </w:rPr>
        <w:br/>
      </w:r>
    </w:p>
    <w:p w14:paraId="669B918B" w14:textId="543944FD" w:rsidR="00844FEE" w:rsidRPr="00E45FD7" w:rsidRDefault="00844FEE" w:rsidP="00844FEE">
      <w:pPr>
        <w:pStyle w:val="ListParagraph"/>
        <w:numPr>
          <w:ilvl w:val="0"/>
          <w:numId w:val="7"/>
        </w:numPr>
        <w:rPr>
          <w:rFonts w:cs="Arial"/>
          <w:color w:val="0B0C0C"/>
          <w:lang w:eastAsia="en-GB"/>
        </w:rPr>
      </w:pPr>
      <w:r w:rsidRPr="00E45FD7">
        <w:rPr>
          <w:rFonts w:cs="Arial"/>
          <w:color w:val="0B0C0C"/>
          <w:lang w:eastAsia="en-GB"/>
        </w:rPr>
        <w:t>how your school will bring innovation to</w:t>
      </w:r>
      <w:r w:rsidR="0057411A">
        <w:rPr>
          <w:rFonts w:cs="Arial"/>
          <w:color w:val="0B0C0C"/>
          <w:lang w:eastAsia="en-GB"/>
        </w:rPr>
        <w:t xml:space="preserve"> the local</w:t>
      </w:r>
      <w:r w:rsidRPr="00E45FD7">
        <w:rPr>
          <w:rFonts w:cs="Arial"/>
          <w:color w:val="0B0C0C"/>
          <w:lang w:eastAsia="en-GB"/>
        </w:rPr>
        <w:t xml:space="preserve"> wider schools</w:t>
      </w:r>
      <w:r>
        <w:rPr>
          <w:rFonts w:cs="Arial"/>
          <w:color w:val="0B0C0C"/>
          <w:lang w:eastAsia="en-GB"/>
        </w:rPr>
        <w:t>’</w:t>
      </w:r>
      <w:r w:rsidRPr="00E45FD7">
        <w:rPr>
          <w:rFonts w:cs="Arial"/>
          <w:color w:val="0B0C0C"/>
          <w:lang w:eastAsia="en-GB"/>
        </w:rPr>
        <w:t xml:space="preserve"> system </w:t>
      </w:r>
      <w:r w:rsidR="00D46D1F">
        <w:rPr>
          <w:rFonts w:cs="Arial"/>
          <w:color w:val="0B0C0C"/>
          <w:lang w:eastAsia="en-GB"/>
        </w:rPr>
        <w:t xml:space="preserve">and collaborate </w:t>
      </w:r>
      <w:r w:rsidR="00CA4801">
        <w:rPr>
          <w:rFonts w:cs="Arial"/>
          <w:color w:val="0B0C0C"/>
          <w:lang w:eastAsia="en-GB"/>
        </w:rPr>
        <w:t xml:space="preserve">effectively </w:t>
      </w:r>
      <w:r w:rsidR="00D46D1F">
        <w:rPr>
          <w:rFonts w:cs="Arial"/>
          <w:color w:val="0B0C0C"/>
          <w:lang w:eastAsia="en-GB"/>
        </w:rPr>
        <w:t xml:space="preserve">with existing </w:t>
      </w:r>
      <w:r w:rsidR="00CA4801">
        <w:rPr>
          <w:rFonts w:cs="Arial"/>
          <w:color w:val="0B0C0C"/>
          <w:lang w:eastAsia="en-GB"/>
        </w:rPr>
        <w:t xml:space="preserve">mainstream and special </w:t>
      </w:r>
      <w:r w:rsidR="00D46D1F">
        <w:rPr>
          <w:rFonts w:cs="Arial"/>
          <w:color w:val="0B0C0C"/>
          <w:lang w:eastAsia="en-GB"/>
        </w:rPr>
        <w:t>schools within Surrey.</w:t>
      </w:r>
      <w:r>
        <w:rPr>
          <w:rFonts w:cs="Arial"/>
          <w:color w:val="0B0C0C"/>
          <w:lang w:eastAsia="en-GB"/>
        </w:rPr>
        <w:br/>
      </w:r>
    </w:p>
    <w:p w14:paraId="792B7615" w14:textId="4F56B2D3" w:rsidR="00844FEE" w:rsidRPr="00E45FD7" w:rsidRDefault="00844FEE" w:rsidP="00844FEE">
      <w:pPr>
        <w:pStyle w:val="ListParagraph"/>
        <w:numPr>
          <w:ilvl w:val="0"/>
          <w:numId w:val="7"/>
        </w:numPr>
        <w:rPr>
          <w:rFonts w:cs="Arial"/>
          <w:color w:val="0B0C0C"/>
          <w:lang w:eastAsia="en-GB"/>
        </w:rPr>
      </w:pPr>
      <w:r w:rsidRPr="00E45FD7">
        <w:rPr>
          <w:rFonts w:cs="Arial"/>
          <w:color w:val="0B0C0C"/>
          <w:lang w:eastAsia="en-GB"/>
        </w:rPr>
        <w:t xml:space="preserve">how you will manage and develop </w:t>
      </w:r>
      <w:r w:rsidR="005A4379">
        <w:rPr>
          <w:rFonts w:cs="Arial"/>
          <w:color w:val="0B0C0C"/>
          <w:lang w:eastAsia="en-GB"/>
        </w:rPr>
        <w:t>your</w:t>
      </w:r>
      <w:r w:rsidRPr="00E45FD7">
        <w:rPr>
          <w:rFonts w:cs="Arial"/>
          <w:color w:val="0B0C0C"/>
          <w:lang w:eastAsia="en-GB"/>
        </w:rPr>
        <w:t xml:space="preserve"> workforce to </w:t>
      </w:r>
      <w:r w:rsidR="00813173">
        <w:rPr>
          <w:rFonts w:cs="Arial"/>
          <w:color w:val="0B0C0C"/>
          <w:lang w:eastAsia="en-GB"/>
        </w:rPr>
        <w:t>create local</w:t>
      </w:r>
      <w:r w:rsidR="005A4379">
        <w:rPr>
          <w:rFonts w:cs="Arial"/>
          <w:color w:val="0B0C0C"/>
          <w:lang w:eastAsia="en-GB"/>
        </w:rPr>
        <w:t xml:space="preserve"> expertise and</w:t>
      </w:r>
      <w:r w:rsidRPr="00E45FD7">
        <w:rPr>
          <w:rFonts w:cs="Arial"/>
          <w:color w:val="0B0C0C"/>
          <w:lang w:eastAsia="en-GB"/>
        </w:rPr>
        <w:t xml:space="preserve"> a sustainable work-life balance for all staff</w:t>
      </w:r>
      <w:r w:rsidR="005A4379">
        <w:rPr>
          <w:rFonts w:cs="Arial"/>
          <w:color w:val="0B0C0C"/>
          <w:lang w:eastAsia="en-GB"/>
        </w:rPr>
        <w:t>.</w:t>
      </w:r>
      <w:r>
        <w:rPr>
          <w:rFonts w:cs="Arial"/>
          <w:color w:val="0B0C0C"/>
          <w:lang w:eastAsia="en-GB"/>
        </w:rPr>
        <w:br/>
      </w:r>
    </w:p>
    <w:p w14:paraId="16A96C71" w14:textId="02D243B1" w:rsidR="00844FEE" w:rsidRDefault="00844FEE" w:rsidP="00844FEE">
      <w:pPr>
        <w:pStyle w:val="ListParagraph"/>
        <w:numPr>
          <w:ilvl w:val="0"/>
          <w:numId w:val="7"/>
        </w:numPr>
        <w:rPr>
          <w:rFonts w:cs="Arial"/>
          <w:color w:val="0B0C0C"/>
          <w:lang w:eastAsia="en-GB"/>
        </w:rPr>
      </w:pPr>
      <w:r w:rsidRPr="00E45FD7">
        <w:rPr>
          <w:rFonts w:cs="Arial"/>
          <w:color w:val="0B0C0C"/>
          <w:lang w:eastAsia="en-GB"/>
        </w:rPr>
        <w:t>if your proposed school is in a different area from your existing school(s), how you will ensure that the new school will be well supported</w:t>
      </w:r>
      <w:r w:rsidR="005A4379">
        <w:rPr>
          <w:rFonts w:cs="Arial"/>
          <w:color w:val="0B0C0C"/>
          <w:lang w:eastAsia="en-GB"/>
        </w:rPr>
        <w:t>.</w:t>
      </w:r>
      <w:r>
        <w:rPr>
          <w:rFonts w:cs="Arial"/>
          <w:color w:val="0B0C0C"/>
          <w:lang w:eastAsia="en-GB"/>
        </w:rPr>
        <w:br/>
      </w:r>
    </w:p>
    <w:p w14:paraId="7CB1EC89" w14:textId="7823B470" w:rsidR="00844FEE" w:rsidRPr="008C34B2" w:rsidRDefault="00844FEE" w:rsidP="00844FEE">
      <w:pPr>
        <w:pStyle w:val="ListParagraph"/>
        <w:numPr>
          <w:ilvl w:val="0"/>
          <w:numId w:val="7"/>
        </w:numPr>
        <w:rPr>
          <w:rFonts w:cs="Arial"/>
          <w:color w:val="0B0C0C"/>
          <w:lang w:eastAsia="en-GB"/>
        </w:rPr>
      </w:pPr>
      <w:r w:rsidRPr="00844FEE">
        <w:rPr>
          <w:rFonts w:cs="Arial"/>
          <w:color w:val="0B0C0C"/>
          <w:lang w:eastAsia="en-GB"/>
        </w:rPr>
        <w:t xml:space="preserve">you should also explain how your proposed school would achieve the expectation set out in paragraph </w:t>
      </w:r>
      <w:r w:rsidRPr="00E45FD7">
        <w:rPr>
          <w:rFonts w:cs="Arial"/>
          <w:color w:val="0B0C0C"/>
          <w:shd w:val="clear" w:color="auto" w:fill="FFFFFF"/>
        </w:rPr>
        <w:t>1.37 of the </w:t>
      </w:r>
      <w:hyperlink r:id="rId31" w:history="1">
        <w:r w:rsidR="005C6AD0">
          <w:rPr>
            <w:rStyle w:val="Hyperlink"/>
          </w:rPr>
          <w:t>Special Educational Needs and Disability Code of Practice, 2015</w:t>
        </w:r>
      </w:hyperlink>
      <w:r w:rsidR="005C6AD0">
        <w:t xml:space="preserve"> </w:t>
      </w:r>
      <w:r w:rsidRPr="00E45FD7">
        <w:rPr>
          <w:rFonts w:cs="Arial"/>
          <w:color w:val="0B0C0C"/>
          <w:shd w:val="clear" w:color="auto" w:fill="FFFFFF"/>
        </w:rPr>
        <w:t xml:space="preserve">and meet pupils’ </w:t>
      </w:r>
      <w:r w:rsidR="00813173">
        <w:rPr>
          <w:rFonts w:cs="Arial"/>
          <w:color w:val="0B0C0C"/>
          <w:shd w:val="clear" w:color="auto" w:fill="FFFFFF"/>
        </w:rPr>
        <w:t xml:space="preserve">identified </w:t>
      </w:r>
      <w:r w:rsidRPr="00E45FD7">
        <w:rPr>
          <w:rFonts w:cs="Arial"/>
          <w:color w:val="0B0C0C"/>
          <w:shd w:val="clear" w:color="auto" w:fill="FFFFFF"/>
        </w:rPr>
        <w:t>special educational needs.</w:t>
      </w:r>
    </w:p>
    <w:p w14:paraId="43064E71" w14:textId="77777777" w:rsidR="008C34B2" w:rsidRDefault="008C34B2" w:rsidP="008C34B2">
      <w:pPr>
        <w:pStyle w:val="ListParagraph"/>
        <w:numPr>
          <w:ilvl w:val="0"/>
          <w:numId w:val="0"/>
        </w:numPr>
        <w:ind w:left="360"/>
      </w:pPr>
    </w:p>
    <w:p w14:paraId="2CE7EF32" w14:textId="1D674358" w:rsidR="008C34B2" w:rsidRDefault="008C34B2" w:rsidP="008C34B2">
      <w:pPr>
        <w:pStyle w:val="ListParagraph"/>
        <w:numPr>
          <w:ilvl w:val="0"/>
          <w:numId w:val="7"/>
        </w:numPr>
      </w:pPr>
      <w:r>
        <w:t xml:space="preserve">Plans for appropriate engagement with the local community, local schools, </w:t>
      </w:r>
      <w:r w:rsidR="00813173">
        <w:t>parents,</w:t>
      </w:r>
      <w:r>
        <w:t xml:space="preserve"> and autism-specific voluntary and charitable organisations during the pre-opening period</w:t>
      </w:r>
      <w:r w:rsidR="005A4379">
        <w:t>.</w:t>
      </w:r>
    </w:p>
    <w:p w14:paraId="1BFA95F1" w14:textId="77777777" w:rsidR="005A4379" w:rsidRDefault="005A4379" w:rsidP="005A4379">
      <w:pPr>
        <w:pStyle w:val="ListParagraph"/>
        <w:numPr>
          <w:ilvl w:val="0"/>
          <w:numId w:val="0"/>
        </w:numPr>
        <w:ind w:left="720"/>
      </w:pPr>
    </w:p>
    <w:p w14:paraId="1A4A3BE1" w14:textId="7BDA9602" w:rsidR="008C34B2" w:rsidRPr="005A4379" w:rsidRDefault="005A4379" w:rsidP="005A4379">
      <w:pPr>
        <w:pStyle w:val="ListParagraph"/>
        <w:numPr>
          <w:ilvl w:val="0"/>
          <w:numId w:val="7"/>
        </w:numPr>
        <w:rPr>
          <w:rFonts w:cs="Arial"/>
          <w:color w:val="0B0C0C"/>
          <w:lang w:eastAsia="en-GB"/>
        </w:rPr>
      </w:pPr>
      <w:r w:rsidRPr="00E45FD7">
        <w:rPr>
          <w:rFonts w:cs="Arial"/>
          <w:color w:val="0B0C0C"/>
          <w:lang w:eastAsia="en-GB"/>
        </w:rPr>
        <w:lastRenderedPageBreak/>
        <w:t xml:space="preserve">a summary of how you </w:t>
      </w:r>
      <w:r>
        <w:rPr>
          <w:rFonts w:cs="Arial"/>
          <w:color w:val="0B0C0C"/>
          <w:lang w:eastAsia="en-GB"/>
        </w:rPr>
        <w:t>plan to</w:t>
      </w:r>
      <w:r w:rsidRPr="00E45FD7">
        <w:rPr>
          <w:rFonts w:cs="Arial"/>
          <w:color w:val="0B0C0C"/>
          <w:lang w:eastAsia="en-GB"/>
        </w:rPr>
        <w:t xml:space="preserve"> engage with those commissioning places at your proposed school, local partners and providers</w:t>
      </w:r>
      <w:r>
        <w:rPr>
          <w:rFonts w:cs="Arial"/>
          <w:color w:val="0B0C0C"/>
          <w:lang w:eastAsia="en-GB"/>
        </w:rPr>
        <w:t xml:space="preserve"> across Education, Health and Care</w:t>
      </w:r>
      <w:r w:rsidRPr="00E45FD7">
        <w:rPr>
          <w:rFonts w:cs="Arial"/>
          <w:color w:val="0B0C0C"/>
          <w:lang w:eastAsia="en-GB"/>
        </w:rPr>
        <w:t>, local parent</w:t>
      </w:r>
      <w:r>
        <w:rPr>
          <w:rFonts w:cs="Arial"/>
          <w:color w:val="0B0C0C"/>
          <w:lang w:eastAsia="en-GB"/>
        </w:rPr>
        <w:t xml:space="preserve"> </w:t>
      </w:r>
      <w:r w:rsidRPr="00E45FD7">
        <w:rPr>
          <w:rFonts w:cs="Arial"/>
          <w:color w:val="0B0C0C"/>
          <w:lang w:eastAsia="en-GB"/>
        </w:rPr>
        <w:t>carer</w:t>
      </w:r>
      <w:r>
        <w:rPr>
          <w:rFonts w:cs="Arial"/>
          <w:color w:val="0B0C0C"/>
          <w:lang w:eastAsia="en-GB"/>
        </w:rPr>
        <w:t xml:space="preserve"> </w:t>
      </w:r>
      <w:r w:rsidRPr="00E45FD7">
        <w:rPr>
          <w:rFonts w:cs="Arial"/>
          <w:color w:val="0B0C0C"/>
          <w:lang w:eastAsia="en-GB"/>
        </w:rPr>
        <w:t>forums and students/young people</w:t>
      </w:r>
      <w:r>
        <w:rPr>
          <w:rFonts w:cs="Arial"/>
          <w:color w:val="0B0C0C"/>
          <w:lang w:eastAsia="en-GB"/>
        </w:rPr>
        <w:t>.</w:t>
      </w:r>
      <w:r>
        <w:rPr>
          <w:rFonts w:cs="Arial"/>
          <w:color w:val="0B0C0C"/>
          <w:lang w:eastAsia="en-GB"/>
        </w:rPr>
        <w:br/>
      </w:r>
    </w:p>
    <w:p w14:paraId="6AE04FD0" w14:textId="77777777" w:rsidR="00844FEE" w:rsidRDefault="00844FEE" w:rsidP="00844FEE"/>
    <w:p w14:paraId="6D3C3981" w14:textId="3A76FBC1" w:rsidR="00DE0AAF" w:rsidRDefault="00DE0AAF" w:rsidP="00DE0AAF"/>
    <w:p w14:paraId="0EF013C4" w14:textId="3641EAB9" w:rsidR="00DE0AAF" w:rsidRPr="00211750" w:rsidRDefault="00DE0AAF" w:rsidP="00DE0AAF">
      <w:pPr>
        <w:pStyle w:val="Heading2"/>
      </w:pPr>
      <w:r w:rsidRPr="00DE0AAF">
        <w:t>Section D - Education Plan</w:t>
      </w:r>
    </w:p>
    <w:p w14:paraId="41412A45" w14:textId="77777777" w:rsidR="00813173" w:rsidRDefault="00813173" w:rsidP="00DE0AAF">
      <w:r>
        <w:t xml:space="preserve">This is the heart of your application. Your education plan must explain how your school will achieve its education vision, set out in the previous section. There are 4 elements within this criterion: </w:t>
      </w:r>
    </w:p>
    <w:p w14:paraId="0F897B3E" w14:textId="226F06D3" w:rsidR="00813173" w:rsidRDefault="00813173" w:rsidP="00813173">
      <w:pPr>
        <w:pStyle w:val="ListParagraph"/>
        <w:numPr>
          <w:ilvl w:val="0"/>
          <w:numId w:val="20"/>
        </w:numPr>
      </w:pPr>
      <w:r>
        <w:t>The curriculum</w:t>
      </w:r>
    </w:p>
    <w:p w14:paraId="27422ADE" w14:textId="10BF4EFF" w:rsidR="00813173" w:rsidRDefault="00813173" w:rsidP="00813173">
      <w:pPr>
        <w:pStyle w:val="ListParagraph"/>
        <w:numPr>
          <w:ilvl w:val="0"/>
          <w:numId w:val="20"/>
        </w:numPr>
      </w:pPr>
      <w:r>
        <w:t>Measuring pupil performance</w:t>
      </w:r>
    </w:p>
    <w:p w14:paraId="164652FF" w14:textId="6FF9A4DF" w:rsidR="00813173" w:rsidRDefault="00813173" w:rsidP="00813173">
      <w:pPr>
        <w:pStyle w:val="ListParagraph"/>
        <w:numPr>
          <w:ilvl w:val="0"/>
          <w:numId w:val="20"/>
        </w:numPr>
      </w:pPr>
      <w:r>
        <w:t>The staffing structure</w:t>
      </w:r>
    </w:p>
    <w:p w14:paraId="5736E417" w14:textId="40647948" w:rsidR="00813173" w:rsidRDefault="00813173" w:rsidP="00813173">
      <w:pPr>
        <w:pStyle w:val="ListParagraph"/>
        <w:numPr>
          <w:ilvl w:val="0"/>
          <w:numId w:val="20"/>
        </w:numPr>
      </w:pPr>
      <w:r>
        <w:t xml:space="preserve">Ensuring inclusivity </w:t>
      </w:r>
    </w:p>
    <w:p w14:paraId="7A4148A4" w14:textId="77777777" w:rsidR="00813173" w:rsidRDefault="00813173" w:rsidP="00DE0AAF"/>
    <w:p w14:paraId="7EC65021" w14:textId="3F3F2294" w:rsidR="00DE0AAF" w:rsidRDefault="00DE0AAF" w:rsidP="00DE0AAF">
      <w:r>
        <w:t>Applica</w:t>
      </w:r>
      <w:r w:rsidR="00EA667F">
        <w:t>tions</w:t>
      </w:r>
      <w:r>
        <w:t xml:space="preserve"> should</w:t>
      </w:r>
      <w:r w:rsidR="00813173">
        <w:t xml:space="preserve"> evidence </w:t>
      </w:r>
      <w:r>
        <w:t xml:space="preserve">of </w:t>
      </w:r>
      <w:r w:rsidR="005A4379">
        <w:t xml:space="preserve">all </w:t>
      </w:r>
      <w:r>
        <w:t xml:space="preserve">the relevant criteria in </w:t>
      </w:r>
      <w:hyperlink r:id="rId32" w:history="1">
        <w:r w:rsidR="00813173">
          <w:rPr>
            <w:rStyle w:val="Hyperlink"/>
          </w:rPr>
          <w:t>Annex C</w:t>
        </w:r>
      </w:hyperlink>
      <w:r w:rsidR="00813173">
        <w:t xml:space="preserve"> </w:t>
      </w:r>
      <w:r>
        <w:t xml:space="preserve">of the free school presumption guidance. </w:t>
      </w:r>
    </w:p>
    <w:p w14:paraId="00C4CBDC" w14:textId="77777777" w:rsidR="0002540C" w:rsidRDefault="0002540C" w:rsidP="00DE0AAF"/>
    <w:p w14:paraId="18FCFDFF" w14:textId="77777777" w:rsidR="00DE0AAF" w:rsidRDefault="00DE0AAF" w:rsidP="00DE0AAF">
      <w:r>
        <w:t>As a minimum please ensure you include the following:</w:t>
      </w:r>
    </w:p>
    <w:p w14:paraId="1960F4C9" w14:textId="77777777" w:rsidR="0002540C" w:rsidRDefault="0002540C" w:rsidP="00DE0AAF"/>
    <w:p w14:paraId="3CA8EACA" w14:textId="24C2D25E" w:rsidR="00DE0AAF" w:rsidRDefault="00DE0AAF" w:rsidP="0002540C">
      <w:pPr>
        <w:pStyle w:val="ListParagraph"/>
        <w:numPr>
          <w:ilvl w:val="0"/>
          <w:numId w:val="8"/>
        </w:numPr>
      </w:pPr>
      <w:r>
        <w:t xml:space="preserve">An ambitious, </w:t>
      </w:r>
      <w:proofErr w:type="gramStart"/>
      <w:r>
        <w:t>broad</w:t>
      </w:r>
      <w:proofErr w:type="gramEnd"/>
      <w:r>
        <w:t xml:space="preserve"> and balanced, deliverable curriculum plan which is consistent with the vision and pupil intake. This could include a curriculum table and pupil build up </w:t>
      </w:r>
      <w:r w:rsidR="00813173">
        <w:t>chart from the first cohort of 80 and growth over 4 years.</w:t>
      </w:r>
      <w:r w:rsidR="0002540C">
        <w:br/>
      </w:r>
    </w:p>
    <w:p w14:paraId="37442857" w14:textId="298A696D" w:rsidR="00DE0AAF" w:rsidRDefault="00DE0AAF" w:rsidP="0002540C">
      <w:pPr>
        <w:pStyle w:val="ListParagraph"/>
        <w:numPr>
          <w:ilvl w:val="0"/>
          <w:numId w:val="8"/>
        </w:numPr>
      </w:pPr>
      <w:r>
        <w:t>Strategies for measuring pupil performance effectively and setting challenging targets</w:t>
      </w:r>
      <w:r w:rsidR="00813173">
        <w:t>, demonstrating a clear understanding of the expected pupil intake and their needs.</w:t>
      </w:r>
      <w:r w:rsidR="0002540C">
        <w:br/>
      </w:r>
    </w:p>
    <w:p w14:paraId="4CCC6D18" w14:textId="5A1C0FDD" w:rsidR="00DE0AAF" w:rsidRDefault="00DE0AAF" w:rsidP="0002540C">
      <w:pPr>
        <w:pStyle w:val="ListParagraph"/>
        <w:numPr>
          <w:ilvl w:val="0"/>
          <w:numId w:val="8"/>
        </w:numPr>
      </w:pPr>
      <w:r>
        <w:t>A staffing structure that will deliver the planned curriculum within the expected income levels; with a focus on outstanding teaching (including strategies for effective performance management)</w:t>
      </w:r>
      <w:r w:rsidR="00813173">
        <w:t xml:space="preserve"> and developing pupils’ independence from the </w:t>
      </w:r>
      <w:r w:rsidR="009A2C63">
        <w:t>outset</w:t>
      </w:r>
      <w:r>
        <w:t>. This could also include an organogram and staff build up chart</w:t>
      </w:r>
      <w:r w:rsidR="009A2C63">
        <w:t>.</w:t>
      </w:r>
      <w:r w:rsidR="0002540C">
        <w:br/>
      </w:r>
    </w:p>
    <w:p w14:paraId="5982033D" w14:textId="40E09206" w:rsidR="00DE0AAF" w:rsidRDefault="00DE0AAF" w:rsidP="009A2C63">
      <w:pPr>
        <w:pStyle w:val="ListParagraph"/>
        <w:numPr>
          <w:ilvl w:val="0"/>
          <w:numId w:val="7"/>
        </w:numPr>
      </w:pPr>
      <w:r>
        <w:t xml:space="preserve">The needs of all </w:t>
      </w:r>
      <w:r w:rsidR="008C34B2">
        <w:t>pupils</w:t>
      </w:r>
      <w:r>
        <w:t xml:space="preserve"> are fully provided for and how the school will be fully inclusive</w:t>
      </w:r>
      <w:r w:rsidR="008C34B2">
        <w:t xml:space="preserve">. Details of </w:t>
      </w:r>
      <w:r w:rsidR="009A2C63">
        <w:t>how you plan to effectively support autistic pupils with co-occurring conditions, including mental health conditions and neurodevelopmental conditions, such as mild to moderate learning difficulties, specific learning difficulties or epilepsy.</w:t>
      </w:r>
      <w:r w:rsidR="0002540C">
        <w:br/>
      </w:r>
    </w:p>
    <w:p w14:paraId="6BC32CF9" w14:textId="69FD0896" w:rsidR="00DE0AAF" w:rsidRDefault="00DE0AAF" w:rsidP="0002540C">
      <w:pPr>
        <w:pStyle w:val="ListParagraph"/>
        <w:numPr>
          <w:ilvl w:val="0"/>
          <w:numId w:val="8"/>
        </w:numPr>
      </w:pPr>
      <w:r>
        <w:t>Details of enrichment and extended services, for example, breakfast clubs, sports clubs, homework clubs</w:t>
      </w:r>
      <w:r w:rsidR="009A2C63">
        <w:t>, after school clubs</w:t>
      </w:r>
      <w:r>
        <w:t xml:space="preserve"> and music/art clubs</w:t>
      </w:r>
      <w:r w:rsidR="00556039">
        <w:t>, opportunities for community engagement</w:t>
      </w:r>
      <w:r w:rsidR="009A2C63">
        <w:t xml:space="preserve"> etc.</w:t>
      </w:r>
      <w:r w:rsidR="0002540C">
        <w:br/>
      </w:r>
      <w:r>
        <w:t xml:space="preserve"> </w:t>
      </w:r>
    </w:p>
    <w:p w14:paraId="39A1494A" w14:textId="7C4FEB58" w:rsidR="00DE0AAF" w:rsidRDefault="00DE0AAF" w:rsidP="0002540C">
      <w:pPr>
        <w:pStyle w:val="ListParagraph"/>
        <w:numPr>
          <w:ilvl w:val="0"/>
          <w:numId w:val="8"/>
        </w:numPr>
      </w:pPr>
      <w:r>
        <w:t xml:space="preserve">The school’s approach to: PHSE; the Prevent Duty; safeguarding and welfare; and promoting fundamental British values (democracy, the rule of law, individual liberty, mutual </w:t>
      </w:r>
      <w:r w:rsidR="009A2C63">
        <w:t>respect,</w:t>
      </w:r>
      <w:r>
        <w:t xml:space="preserve"> and tolerance of those with different faiths and beliefs) </w:t>
      </w:r>
    </w:p>
    <w:p w14:paraId="5E6B39DD" w14:textId="77777777" w:rsidR="0070103F" w:rsidRDefault="0070103F" w:rsidP="000E46B8">
      <w:pPr>
        <w:pStyle w:val="ListParagraph"/>
        <w:numPr>
          <w:ilvl w:val="0"/>
          <w:numId w:val="0"/>
        </w:numPr>
        <w:ind w:left="360"/>
      </w:pPr>
    </w:p>
    <w:p w14:paraId="41830D77" w14:textId="6B450011" w:rsidR="00DE0AAF" w:rsidRDefault="0070103F" w:rsidP="00491B30">
      <w:pPr>
        <w:pStyle w:val="ListParagraph"/>
        <w:numPr>
          <w:ilvl w:val="0"/>
          <w:numId w:val="8"/>
        </w:numPr>
      </w:pPr>
      <w:r>
        <w:t>Relationships and Sex Education (RSE) that enables all pupils to develop the skills to make safe and sensible life choices</w:t>
      </w:r>
      <w:r w:rsidR="009A2C63">
        <w:t>,</w:t>
      </w:r>
      <w:r>
        <w:t xml:space="preserve"> and to form positive beliefs</w:t>
      </w:r>
      <w:r w:rsidR="008C34B2">
        <w:t>, values and attitudes to the choices made by others.</w:t>
      </w:r>
      <w:r>
        <w:t xml:space="preserve"> </w:t>
      </w:r>
      <w:r w:rsidR="009A2C63">
        <w:t xml:space="preserve">This needs to include how the school will </w:t>
      </w:r>
      <w:r>
        <w:t xml:space="preserve">develop of a positive culture around issues of sexuality and relationships. </w:t>
      </w:r>
    </w:p>
    <w:p w14:paraId="272CB674" w14:textId="26818CA3" w:rsidR="00844FEE" w:rsidRPr="00BA0B8D" w:rsidRDefault="00844FEE" w:rsidP="00844FEE">
      <w:pPr>
        <w:shd w:val="clear" w:color="auto" w:fill="FFFFFF"/>
        <w:spacing w:before="300" w:after="300"/>
        <w:rPr>
          <w:rFonts w:cs="Arial"/>
          <w:color w:val="0B0C0C"/>
          <w:lang w:eastAsia="en-GB"/>
        </w:rPr>
      </w:pPr>
      <w:r>
        <w:t xml:space="preserve">In addition, applicants are encouraged to </w:t>
      </w:r>
      <w:r>
        <w:rPr>
          <w:rFonts w:cs="Arial"/>
          <w:szCs w:val="28"/>
        </w:rPr>
        <w:t>provide the following detail:</w:t>
      </w:r>
    </w:p>
    <w:p w14:paraId="7960539C" w14:textId="7954B53E" w:rsidR="00844FEE" w:rsidRPr="00844FEE" w:rsidRDefault="00844FEE" w:rsidP="00844FEE">
      <w:pPr>
        <w:pStyle w:val="ListParagraph"/>
        <w:numPr>
          <w:ilvl w:val="0"/>
          <w:numId w:val="8"/>
        </w:numPr>
      </w:pPr>
      <w:r w:rsidRPr="00BA0B8D">
        <w:rPr>
          <w:rFonts w:cs="Arial"/>
          <w:color w:val="0B0C0C"/>
          <w:lang w:eastAsia="en-GB"/>
        </w:rPr>
        <w:lastRenderedPageBreak/>
        <w:t xml:space="preserve">a list of subjects </w:t>
      </w:r>
      <w:r w:rsidRPr="00844FEE">
        <w:t>and qualifications you will offer</w:t>
      </w:r>
      <w:r>
        <w:br/>
      </w:r>
    </w:p>
    <w:p w14:paraId="7F746ED8" w14:textId="41BA051F" w:rsidR="00844FEE" w:rsidRPr="00844FEE" w:rsidRDefault="00844FEE" w:rsidP="00844FEE">
      <w:pPr>
        <w:pStyle w:val="ListParagraph"/>
        <w:numPr>
          <w:ilvl w:val="0"/>
          <w:numId w:val="8"/>
        </w:numPr>
      </w:pPr>
      <w:r w:rsidRPr="00844FEE">
        <w:t>the number of hours spent per week on the subject - you do not need to provide sample timetables</w:t>
      </w:r>
      <w:r>
        <w:br/>
      </w:r>
    </w:p>
    <w:p w14:paraId="30CD5951" w14:textId="00FF9477" w:rsidR="00844FEE" w:rsidRPr="00844FEE" w:rsidRDefault="00844FEE" w:rsidP="00844FEE">
      <w:pPr>
        <w:pStyle w:val="ListParagraph"/>
        <w:numPr>
          <w:ilvl w:val="0"/>
          <w:numId w:val="8"/>
        </w:numPr>
      </w:pPr>
      <w:r w:rsidRPr="00844FEE">
        <w:t>the curriculum that you are proposing to teach in your school, explaining how it meets the needs of the expected intake</w:t>
      </w:r>
      <w:r w:rsidR="009A2C63">
        <w:t xml:space="preserve"> of pupils and their special educational needs</w:t>
      </w:r>
      <w:r>
        <w:br/>
      </w:r>
    </w:p>
    <w:p w14:paraId="50E85436" w14:textId="737EF262" w:rsidR="00844FEE" w:rsidRPr="00844FEE" w:rsidRDefault="00844FEE" w:rsidP="00844FEE">
      <w:pPr>
        <w:pStyle w:val="ListParagraph"/>
        <w:numPr>
          <w:ilvl w:val="0"/>
          <w:numId w:val="8"/>
        </w:numPr>
      </w:pPr>
      <w:r w:rsidRPr="00844FEE">
        <w:t>the length of the school day, including any enrichment time, making a distinction between compulsory and voluntary activities</w:t>
      </w:r>
      <w:r>
        <w:br/>
      </w:r>
    </w:p>
    <w:p w14:paraId="7BF38902" w14:textId="68258A24" w:rsidR="00844FEE" w:rsidRPr="00844FEE" w:rsidRDefault="00844FEE" w:rsidP="00844FEE">
      <w:pPr>
        <w:pStyle w:val="ListParagraph"/>
        <w:numPr>
          <w:ilvl w:val="0"/>
          <w:numId w:val="8"/>
        </w:numPr>
      </w:pPr>
      <w:r w:rsidRPr="00844FEE">
        <w:t>how you will use resources from an existing school or other organisations to help deliver the curriculum/a subject or improve teaching capability</w:t>
      </w:r>
      <w:r>
        <w:br/>
      </w:r>
    </w:p>
    <w:p w14:paraId="48DC196C" w14:textId="033180B1" w:rsidR="00844FEE" w:rsidRPr="00844FEE" w:rsidRDefault="00844FEE" w:rsidP="00844FEE">
      <w:pPr>
        <w:pStyle w:val="ListParagraph"/>
        <w:numPr>
          <w:ilvl w:val="0"/>
          <w:numId w:val="8"/>
        </w:numPr>
      </w:pPr>
      <w:r w:rsidRPr="00844FEE">
        <w:t>how you intend to develop literacy, numeracy, and science skills</w:t>
      </w:r>
      <w:r>
        <w:br/>
      </w:r>
    </w:p>
    <w:p w14:paraId="3EC81C47" w14:textId="1D22B236" w:rsidR="00844FEE" w:rsidRPr="00844FEE" w:rsidRDefault="00844FEE" w:rsidP="00844FEE">
      <w:pPr>
        <w:pStyle w:val="ListParagraph"/>
        <w:numPr>
          <w:ilvl w:val="0"/>
          <w:numId w:val="8"/>
        </w:numPr>
      </w:pPr>
      <w:r w:rsidRPr="00844FEE">
        <w:t>an understanding of the expected pupil intake and their needs, e.g., levels of pupils with English as an additional language (EAL) and free school meals (FSM)</w:t>
      </w:r>
      <w:r>
        <w:br/>
      </w:r>
    </w:p>
    <w:p w14:paraId="1DF193AE" w14:textId="571B8607" w:rsidR="00844FEE" w:rsidRPr="00844FEE" w:rsidRDefault="00844FEE" w:rsidP="00844FEE">
      <w:pPr>
        <w:pStyle w:val="ListParagraph"/>
        <w:numPr>
          <w:ilvl w:val="0"/>
          <w:numId w:val="8"/>
        </w:numPr>
      </w:pPr>
      <w:r w:rsidRPr="00844FEE">
        <w:t>the types of special educational need that the school will cater for and include a strategy to assess and meet the needs of all pupils including:</w:t>
      </w:r>
      <w:r>
        <w:br/>
      </w:r>
    </w:p>
    <w:p w14:paraId="57BB436A" w14:textId="77777777" w:rsidR="00844FEE" w:rsidRPr="00844FEE" w:rsidRDefault="00844FEE" w:rsidP="00844FEE">
      <w:pPr>
        <w:pStyle w:val="ListParagraph"/>
        <w:numPr>
          <w:ilvl w:val="1"/>
          <w:numId w:val="8"/>
        </w:numPr>
      </w:pPr>
      <w:r w:rsidRPr="00844FEE">
        <w:t>looked after children</w:t>
      </w:r>
    </w:p>
    <w:p w14:paraId="4616251B" w14:textId="77777777" w:rsidR="00844FEE" w:rsidRPr="00844FEE" w:rsidRDefault="00844FEE" w:rsidP="00844FEE">
      <w:pPr>
        <w:pStyle w:val="ListParagraph"/>
        <w:numPr>
          <w:ilvl w:val="1"/>
          <w:numId w:val="8"/>
        </w:numPr>
      </w:pPr>
      <w:r w:rsidRPr="00844FEE">
        <w:t>those requiring literacy recovery/intervention (including EAL)</w:t>
      </w:r>
    </w:p>
    <w:p w14:paraId="5A9A505A" w14:textId="77777777" w:rsidR="00844FEE" w:rsidRPr="00844FEE" w:rsidRDefault="00844FEE" w:rsidP="00844FEE">
      <w:pPr>
        <w:pStyle w:val="ListParagraph"/>
        <w:numPr>
          <w:ilvl w:val="1"/>
          <w:numId w:val="8"/>
        </w:numPr>
      </w:pPr>
      <w:r w:rsidRPr="00844FEE">
        <w:t>those with differing degrees of Special Educational Needs and/ or Disability</w:t>
      </w:r>
    </w:p>
    <w:p w14:paraId="1FBA6465" w14:textId="1F45C8AA" w:rsidR="00844FEE" w:rsidRPr="00844FEE" w:rsidRDefault="009A2C63" w:rsidP="00EA667F">
      <w:pPr>
        <w:pStyle w:val="ListParagraph"/>
        <w:numPr>
          <w:ilvl w:val="1"/>
          <w:numId w:val="8"/>
        </w:numPr>
      </w:pPr>
      <w:r>
        <w:t>pupils</w:t>
      </w:r>
      <w:r w:rsidR="00844FEE" w:rsidRPr="00844FEE">
        <w:t xml:space="preserve"> who attract the pupil premium</w:t>
      </w:r>
      <w:r w:rsidR="00844FEE" w:rsidRPr="00EA667F">
        <w:rPr>
          <w:rFonts w:cs="Arial"/>
          <w:szCs w:val="24"/>
        </w:rPr>
        <w:br/>
      </w:r>
    </w:p>
    <w:p w14:paraId="4CAA4BE2" w14:textId="64FBEFB5" w:rsidR="00844FEE" w:rsidRPr="00844FEE" w:rsidRDefault="00844FEE" w:rsidP="00844FEE">
      <w:pPr>
        <w:pStyle w:val="ListParagraph"/>
        <w:numPr>
          <w:ilvl w:val="0"/>
          <w:numId w:val="8"/>
        </w:numPr>
      </w:pPr>
      <w:r w:rsidRPr="00844FEE">
        <w:t>describe how you will establish a baseline of pupils’ current level of attainment (including external validation of this).</w:t>
      </w:r>
      <w:r>
        <w:br/>
      </w:r>
    </w:p>
    <w:p w14:paraId="6CDD92EC" w14:textId="77777777" w:rsidR="00EA667F" w:rsidRDefault="00844FEE" w:rsidP="00844FEE">
      <w:pPr>
        <w:pStyle w:val="ListParagraph"/>
        <w:numPr>
          <w:ilvl w:val="0"/>
          <w:numId w:val="8"/>
        </w:numPr>
      </w:pPr>
      <w:r w:rsidRPr="00844FEE">
        <w:t>describe how you will assess and monitor pupil performance and progress, ensuring this relates to the outcomes in an individual’s EHC plan. This also needs to include Preparation for Adulthood outcomes for pupils in NCY9 and beyond.</w:t>
      </w:r>
    </w:p>
    <w:p w14:paraId="30C24C6A" w14:textId="77777777" w:rsidR="00EA667F" w:rsidRDefault="00EA667F" w:rsidP="00EA667F">
      <w:pPr>
        <w:pStyle w:val="ListParagraph"/>
        <w:numPr>
          <w:ilvl w:val="0"/>
          <w:numId w:val="0"/>
        </w:numPr>
        <w:ind w:left="360"/>
      </w:pPr>
    </w:p>
    <w:p w14:paraId="3C2E0B19" w14:textId="44436075" w:rsidR="00844FEE" w:rsidRPr="00844FEE" w:rsidRDefault="00EA667F" w:rsidP="00844FEE">
      <w:pPr>
        <w:pStyle w:val="ListParagraph"/>
        <w:numPr>
          <w:ilvl w:val="0"/>
          <w:numId w:val="8"/>
        </w:numPr>
      </w:pPr>
      <w:r w:rsidRPr="00844FEE">
        <w:t>the strategies you will put in place to support pupils to be successful when they enter and leave your school to transition to their next phase of education</w:t>
      </w:r>
      <w:r>
        <w:t xml:space="preserve"> or future employment. This needs to include your approach </w:t>
      </w:r>
      <w:r w:rsidRPr="009A2C63">
        <w:rPr>
          <w:rFonts w:cs="Arial"/>
          <w:color w:val="000000"/>
          <w:szCs w:val="24"/>
          <w:shd w:val="clear" w:color="auto" w:fill="FFFFFF"/>
        </w:rPr>
        <w:t xml:space="preserve">to </w:t>
      </w:r>
      <w:r>
        <w:rPr>
          <w:rFonts w:cs="Arial"/>
          <w:color w:val="000000"/>
          <w:szCs w:val="24"/>
          <w:shd w:val="clear" w:color="auto" w:fill="FFFFFF"/>
        </w:rPr>
        <w:t xml:space="preserve">careers education, information, and advice so that pupils </w:t>
      </w:r>
      <w:r w:rsidRPr="009A2C63">
        <w:rPr>
          <w:rFonts w:cs="Arial"/>
          <w:color w:val="000000"/>
          <w:szCs w:val="24"/>
          <w:shd w:val="clear" w:color="auto" w:fill="FFFFFF"/>
        </w:rPr>
        <w:t>become happy, healthy, empowered, and included adults, who participate in, and contribute towards society.</w:t>
      </w:r>
      <w:r w:rsidR="00844FEE">
        <w:br/>
      </w:r>
    </w:p>
    <w:p w14:paraId="4D6C8A6F" w14:textId="53DDDA12" w:rsidR="00844FEE" w:rsidRPr="00844FEE" w:rsidRDefault="00844FEE" w:rsidP="00844FEE">
      <w:pPr>
        <w:pStyle w:val="ListParagraph"/>
        <w:numPr>
          <w:ilvl w:val="0"/>
          <w:numId w:val="8"/>
        </w:numPr>
      </w:pPr>
      <w:r w:rsidRPr="00844FEE">
        <w:t xml:space="preserve">set out </w:t>
      </w:r>
      <w:r w:rsidR="00EA667F">
        <w:t>what success looks like</w:t>
      </w:r>
      <w:r w:rsidRPr="00844FEE">
        <w:t xml:space="preserve"> for pupil performance, </w:t>
      </w:r>
      <w:r w:rsidR="007E17F1" w:rsidRPr="00844FEE">
        <w:t>behaviour,</w:t>
      </w:r>
      <w:r w:rsidRPr="00844FEE">
        <w:t xml:space="preserve"> and attendance.</w:t>
      </w:r>
      <w:r w:rsidR="00216052">
        <w:t xml:space="preserve"> </w:t>
      </w:r>
      <w:r w:rsidR="00EA667F">
        <w:t xml:space="preserve">This needs to reflect high aspirations for emotional well-being and personal achievement, as well as academic </w:t>
      </w:r>
      <w:r w:rsidR="00216052" w:rsidRPr="00216052">
        <w:t>achievement</w:t>
      </w:r>
      <w:r w:rsidR="00EA667F">
        <w:t>.</w:t>
      </w:r>
      <w:r>
        <w:br/>
      </w:r>
    </w:p>
    <w:p w14:paraId="20737E69" w14:textId="14621B39" w:rsidR="00216052" w:rsidRDefault="00844FEE" w:rsidP="00844FEE">
      <w:pPr>
        <w:pStyle w:val="ListParagraph"/>
        <w:numPr>
          <w:ilvl w:val="0"/>
          <w:numId w:val="8"/>
        </w:numPr>
      </w:pPr>
      <w:r w:rsidRPr="00844FEE">
        <w:t xml:space="preserve">explain how you will use success measures to improve the school’s performance, including non-academic targets for students’ skills and outcomes in independence, employability, healthy </w:t>
      </w:r>
      <w:r w:rsidR="00EA667F" w:rsidRPr="00844FEE">
        <w:t>living,</w:t>
      </w:r>
      <w:r w:rsidRPr="00844FEE">
        <w:t xml:space="preserve"> and participation in society.</w:t>
      </w:r>
      <w:r w:rsidR="00216052">
        <w:br/>
      </w:r>
    </w:p>
    <w:p w14:paraId="01C1DF15" w14:textId="20BDDEDC" w:rsidR="00844FEE" w:rsidRPr="00844FEE" w:rsidRDefault="00216052" w:rsidP="00EA667F">
      <w:pPr>
        <w:pStyle w:val="ListParagraph"/>
        <w:numPr>
          <w:ilvl w:val="0"/>
          <w:numId w:val="8"/>
        </w:numPr>
      </w:pPr>
      <w:r>
        <w:t xml:space="preserve">describe your approach to developing </w:t>
      </w:r>
      <w:r w:rsidR="00EA667F">
        <w:t xml:space="preserve">autistic pupils’ </w:t>
      </w:r>
      <w:r>
        <w:t xml:space="preserve">social learning and understanding, promoting independence as well as mental, </w:t>
      </w:r>
      <w:r w:rsidR="00EA667F">
        <w:t>emotional,</w:t>
      </w:r>
      <w:r>
        <w:t xml:space="preserve"> and physical well-being.</w:t>
      </w:r>
      <w:r w:rsidR="00341176">
        <w:br/>
      </w:r>
      <w:r w:rsidR="00844FEE">
        <w:br/>
      </w:r>
    </w:p>
    <w:p w14:paraId="37D29CDA" w14:textId="0F77B22B" w:rsidR="00844FEE" w:rsidRPr="00BA0B8D" w:rsidRDefault="00844FEE" w:rsidP="00844FEE">
      <w:pPr>
        <w:shd w:val="clear" w:color="auto" w:fill="FFFFFF"/>
        <w:ind w:left="-60"/>
        <w:rPr>
          <w:rFonts w:cs="Arial"/>
          <w:color w:val="0B0C0C"/>
          <w:lang w:eastAsia="en-GB"/>
        </w:rPr>
      </w:pPr>
      <w:r>
        <w:rPr>
          <w:rFonts w:cs="Arial"/>
          <w:color w:val="0B0C0C"/>
          <w:lang w:eastAsia="en-GB"/>
        </w:rPr>
        <w:lastRenderedPageBreak/>
        <w:t>Applicants will also be assessed on</w:t>
      </w:r>
      <w:r w:rsidRPr="00BA0B8D">
        <w:rPr>
          <w:rFonts w:cs="Arial"/>
          <w:color w:val="0B0C0C"/>
          <w:lang w:eastAsia="en-GB"/>
        </w:rPr>
        <w:t xml:space="preserve"> how </w:t>
      </w:r>
      <w:r>
        <w:rPr>
          <w:rFonts w:cs="Arial"/>
          <w:color w:val="0B0C0C"/>
          <w:lang w:eastAsia="en-GB"/>
        </w:rPr>
        <w:t>they</w:t>
      </w:r>
      <w:r w:rsidRPr="00BA0B8D">
        <w:rPr>
          <w:rFonts w:cs="Arial"/>
          <w:color w:val="0B0C0C"/>
          <w:lang w:eastAsia="en-GB"/>
        </w:rPr>
        <w:t xml:space="preserve"> plan to:</w:t>
      </w:r>
      <w:r>
        <w:rPr>
          <w:rFonts w:cs="Arial"/>
          <w:color w:val="0B0C0C"/>
          <w:lang w:eastAsia="en-GB"/>
        </w:rPr>
        <w:br/>
      </w:r>
    </w:p>
    <w:p w14:paraId="25D82EB7" w14:textId="563F3C77" w:rsidR="00844FEE" w:rsidRPr="00844FEE" w:rsidRDefault="00844FEE" w:rsidP="00844FEE">
      <w:pPr>
        <w:pStyle w:val="ListParagraph"/>
        <w:numPr>
          <w:ilvl w:val="0"/>
          <w:numId w:val="8"/>
        </w:numPr>
      </w:pPr>
      <w:r w:rsidRPr="00BA0B8D">
        <w:rPr>
          <w:rFonts w:cs="Arial"/>
          <w:color w:val="0B0C0C"/>
          <w:lang w:eastAsia="en-GB"/>
        </w:rPr>
        <w:t xml:space="preserve">use </w:t>
      </w:r>
      <w:r w:rsidRPr="00844FEE">
        <w:t>assessment data to inform teaching and increase progression and attainment for all pupils with EHCPs</w:t>
      </w:r>
      <w:r>
        <w:br/>
      </w:r>
    </w:p>
    <w:p w14:paraId="7184DBF3" w14:textId="52FF81D0" w:rsidR="00844FEE" w:rsidRPr="00844FEE" w:rsidRDefault="00844FEE" w:rsidP="00844FEE">
      <w:pPr>
        <w:pStyle w:val="ListParagraph"/>
        <w:numPr>
          <w:ilvl w:val="0"/>
          <w:numId w:val="8"/>
        </w:numPr>
      </w:pPr>
      <w:r w:rsidRPr="00844FEE">
        <w:t>measure the quality of teaching in the classroom</w:t>
      </w:r>
      <w:r>
        <w:br/>
      </w:r>
    </w:p>
    <w:p w14:paraId="10F6DF55" w14:textId="2F23E793" w:rsidR="00844FEE" w:rsidRPr="00844FEE" w:rsidRDefault="00844FEE" w:rsidP="00844FEE">
      <w:pPr>
        <w:pStyle w:val="ListParagraph"/>
        <w:numPr>
          <w:ilvl w:val="0"/>
          <w:numId w:val="8"/>
        </w:numPr>
      </w:pPr>
      <w:r w:rsidRPr="00844FEE">
        <w:t>involve parents/carers and report progress to them against EHCP outcomes</w:t>
      </w:r>
      <w:r>
        <w:br/>
      </w:r>
    </w:p>
    <w:p w14:paraId="69E282A3" w14:textId="59D69E30" w:rsidR="00844FEE" w:rsidRPr="0075657A" w:rsidRDefault="00844FEE" w:rsidP="00844FEE">
      <w:pPr>
        <w:pStyle w:val="ListParagraph"/>
        <w:numPr>
          <w:ilvl w:val="0"/>
          <w:numId w:val="8"/>
        </w:numPr>
        <w:rPr>
          <w:rFonts w:cs="Arial"/>
          <w:color w:val="0B0C0C"/>
          <w:lang w:eastAsia="en-GB"/>
        </w:rPr>
      </w:pPr>
      <w:r w:rsidRPr="00844FEE">
        <w:t>involve</w:t>
      </w:r>
      <w:r w:rsidRPr="0075657A">
        <w:rPr>
          <w:rFonts w:cs="Arial"/>
          <w:color w:val="0B0C0C"/>
          <w:lang w:eastAsia="en-GB"/>
        </w:rPr>
        <w:t xml:space="preserve"> pupils and their families in decisions about their support, </w:t>
      </w:r>
      <w:r w:rsidR="007E17F1" w:rsidRPr="0075657A">
        <w:rPr>
          <w:rFonts w:cs="Arial"/>
          <w:color w:val="0B0C0C"/>
          <w:lang w:eastAsia="en-GB"/>
        </w:rPr>
        <w:t>ambitions,</w:t>
      </w:r>
      <w:r w:rsidRPr="0075657A">
        <w:rPr>
          <w:rFonts w:cs="Arial"/>
          <w:color w:val="0B0C0C"/>
          <w:lang w:eastAsia="en-GB"/>
        </w:rPr>
        <w:t xml:space="preserve"> and progress</w:t>
      </w:r>
    </w:p>
    <w:p w14:paraId="68B874AC" w14:textId="31BAA159" w:rsidR="00DE0AAF" w:rsidRDefault="00DE0AAF" w:rsidP="00DE0AAF"/>
    <w:p w14:paraId="28DC58DB" w14:textId="77777777" w:rsidR="00DE0AAF" w:rsidRDefault="00DE0AAF" w:rsidP="00DE0AAF"/>
    <w:p w14:paraId="5910C6F3" w14:textId="21FCFDCC" w:rsidR="00DE0AAF" w:rsidRPr="00211750" w:rsidRDefault="00DE0AAF" w:rsidP="00DE0AAF">
      <w:pPr>
        <w:pStyle w:val="Heading2"/>
      </w:pPr>
      <w:r w:rsidRPr="00DE0AAF">
        <w:t>Section E - Capacity and Capability</w:t>
      </w:r>
    </w:p>
    <w:p w14:paraId="1462960D" w14:textId="77777777" w:rsidR="000F018E" w:rsidRDefault="00EA667F" w:rsidP="00EA667F">
      <w:r>
        <w:t xml:space="preserve">You need to demonstrate that your organisation has the capacity and capability to set up and run the school you are proposing and that you have access to appropriate educational, financial, and other expertise, either within your group or externally. </w:t>
      </w:r>
    </w:p>
    <w:p w14:paraId="0A4F02E7" w14:textId="4455386D" w:rsidR="00EA667F" w:rsidRDefault="00EA667F" w:rsidP="00EA667F">
      <w:r>
        <w:t xml:space="preserve">Applications should evidence of all the relevant criteria in </w:t>
      </w:r>
      <w:hyperlink r:id="rId33" w:history="1">
        <w:r>
          <w:rPr>
            <w:rStyle w:val="Hyperlink"/>
          </w:rPr>
          <w:t>Annex C</w:t>
        </w:r>
      </w:hyperlink>
      <w:r>
        <w:t xml:space="preserve"> of the free school presumption guidance. </w:t>
      </w:r>
    </w:p>
    <w:p w14:paraId="4D9DC024" w14:textId="142F1669" w:rsidR="00DE0AAF" w:rsidRDefault="00DE0AAF" w:rsidP="00DE0AAF"/>
    <w:p w14:paraId="09712727" w14:textId="77777777" w:rsidR="0002540C" w:rsidRDefault="0002540C" w:rsidP="00DE0AAF"/>
    <w:p w14:paraId="37E10C1C" w14:textId="77777777" w:rsidR="00DE0AAF" w:rsidRDefault="00DE0AAF" w:rsidP="00DE0AAF">
      <w:r>
        <w:t>As a minimum please ensure you include the following:</w:t>
      </w:r>
    </w:p>
    <w:p w14:paraId="403791D1" w14:textId="77777777" w:rsidR="0002540C" w:rsidRDefault="0002540C" w:rsidP="00DE0AAF"/>
    <w:p w14:paraId="1E78644B" w14:textId="033FA6A8" w:rsidR="001547D2" w:rsidRDefault="001547D2" w:rsidP="0002540C">
      <w:pPr>
        <w:pStyle w:val="ListParagraph"/>
        <w:numPr>
          <w:ilvl w:val="0"/>
          <w:numId w:val="9"/>
        </w:numPr>
      </w:pPr>
      <w:r>
        <w:t>Who will be in charge during pre-opening and provide a copy of their CV.</w:t>
      </w:r>
    </w:p>
    <w:p w14:paraId="0A58E83F" w14:textId="77777777" w:rsidR="001547D2" w:rsidRDefault="001547D2" w:rsidP="00411FA3">
      <w:pPr>
        <w:pStyle w:val="ListParagraph"/>
        <w:numPr>
          <w:ilvl w:val="0"/>
          <w:numId w:val="0"/>
        </w:numPr>
        <w:ind w:left="360"/>
      </w:pPr>
    </w:p>
    <w:p w14:paraId="4F9A4F49" w14:textId="1F4468E2" w:rsidR="00DE0AAF" w:rsidRDefault="00DE0AAF" w:rsidP="0002540C">
      <w:pPr>
        <w:pStyle w:val="ListParagraph"/>
        <w:numPr>
          <w:ilvl w:val="0"/>
          <w:numId w:val="9"/>
        </w:numPr>
      </w:pPr>
      <w:r>
        <w:t>The resources you would draw on and/or deploy to support the development of the new free school by the opening date</w:t>
      </w:r>
      <w:r w:rsidR="0002540C">
        <w:br/>
      </w:r>
    </w:p>
    <w:p w14:paraId="6DE07770" w14:textId="197F86EF" w:rsidR="00DE0AAF" w:rsidRDefault="00DE0AAF" w:rsidP="0002540C">
      <w:pPr>
        <w:pStyle w:val="ListParagraph"/>
        <w:numPr>
          <w:ilvl w:val="0"/>
          <w:numId w:val="9"/>
        </w:numPr>
      </w:pPr>
      <w:r>
        <w:t xml:space="preserve">Clear evidence that you have the range of skills and abilities necessary to set up and then run a school effectively, </w:t>
      </w:r>
      <w:r w:rsidR="007E17F1">
        <w:t>including</w:t>
      </w:r>
      <w:r>
        <w:t xml:space="preserve"> managing school finances; leadership; project management; marketing; human resources; safeguarding; and health and safety</w:t>
      </w:r>
      <w:r w:rsidR="0002540C">
        <w:br/>
      </w:r>
    </w:p>
    <w:p w14:paraId="180BE790" w14:textId="1BBF41B4" w:rsidR="004F6792" w:rsidRDefault="00DE0AAF" w:rsidP="004F6792">
      <w:pPr>
        <w:pStyle w:val="ListParagraph"/>
        <w:numPr>
          <w:ilvl w:val="0"/>
          <w:numId w:val="9"/>
        </w:numPr>
      </w:pPr>
      <w:r>
        <w:t>How the school would be organised and what the governance arrangements would look like, including a diagram of the proposed structures</w:t>
      </w:r>
      <w:r w:rsidR="004F6792">
        <w:br/>
      </w:r>
    </w:p>
    <w:p w14:paraId="59CCAAA0" w14:textId="531908B4" w:rsidR="00556039" w:rsidRDefault="00556039" w:rsidP="004F6792">
      <w:pPr>
        <w:pStyle w:val="ListParagraph"/>
        <w:numPr>
          <w:ilvl w:val="0"/>
          <w:numId w:val="9"/>
        </w:numPr>
      </w:pPr>
      <w:r w:rsidRPr="004F6792">
        <w:t xml:space="preserve">Details of </w:t>
      </w:r>
      <w:r w:rsidR="000F018E">
        <w:t>T</w:t>
      </w:r>
      <w:r w:rsidRPr="004F6792">
        <w:t>rust expansion strategy including any other significant changes planned</w:t>
      </w:r>
      <w:r w:rsidR="00341176">
        <w:br/>
      </w:r>
    </w:p>
    <w:p w14:paraId="700C9C1B" w14:textId="12E94A84" w:rsidR="00341176" w:rsidRDefault="00341176" w:rsidP="004F6792">
      <w:pPr>
        <w:pStyle w:val="ListParagraph"/>
        <w:numPr>
          <w:ilvl w:val="0"/>
          <w:numId w:val="9"/>
        </w:numPr>
      </w:pPr>
      <w:r>
        <w:t>A demonstration of commitment to Surrey’s SEND Partnership Strategy and delivery against the All-Age Autism Strategy</w:t>
      </w:r>
      <w:r>
        <w:br/>
      </w:r>
    </w:p>
    <w:p w14:paraId="1ADC5ABC" w14:textId="58FB75DD" w:rsidR="00341176" w:rsidRPr="004F6792" w:rsidRDefault="00341176" w:rsidP="004F6792">
      <w:pPr>
        <w:pStyle w:val="ListParagraph"/>
        <w:numPr>
          <w:ilvl w:val="0"/>
          <w:numId w:val="9"/>
        </w:numPr>
      </w:pPr>
      <w:r>
        <w:t>How you will help set high aspirations and evidence achievement of ambitious outcomes for autistic young people</w:t>
      </w:r>
    </w:p>
    <w:p w14:paraId="238D38D3" w14:textId="77777777" w:rsidR="00DE0AAF" w:rsidRDefault="00DE0AAF" w:rsidP="00DE0AAF"/>
    <w:p w14:paraId="2823D9E9" w14:textId="026B91C5" w:rsidR="00DE0AAF" w:rsidRDefault="00DE0AAF" w:rsidP="00DE0AAF"/>
    <w:p w14:paraId="73C3E909" w14:textId="3DD0007F" w:rsidR="00DE0AAF" w:rsidRDefault="00DE0AAF" w:rsidP="00DE0AAF"/>
    <w:p w14:paraId="2155934D" w14:textId="5EC0B5B7" w:rsidR="00DE0AAF" w:rsidRPr="00211750" w:rsidRDefault="00DE0AAF" w:rsidP="00DE0AAF">
      <w:pPr>
        <w:pStyle w:val="Heading2"/>
      </w:pPr>
      <w:r w:rsidRPr="00DE0AAF">
        <w:t>Section F - Funding and Costs</w:t>
      </w:r>
    </w:p>
    <w:p w14:paraId="2088BB38" w14:textId="488E4F00" w:rsidR="00F65B10" w:rsidRDefault="00F65B10" w:rsidP="00F65B10">
      <w:r>
        <w:t xml:space="preserve">The need to create an all-through phase </w:t>
      </w:r>
      <w:r w:rsidR="000F018E">
        <w:t>s</w:t>
      </w:r>
      <w:r>
        <w:t xml:space="preserve">pecial </w:t>
      </w:r>
      <w:r w:rsidR="000F018E">
        <w:t>s</w:t>
      </w:r>
      <w:r>
        <w:t xml:space="preserve">chool </w:t>
      </w:r>
      <w:r w:rsidR="000F018E">
        <w:t xml:space="preserve">in Surrey </w:t>
      </w:r>
      <w:r>
        <w:t>was identified and signed off in the Special Educational Needs and Disability (SEND) Capital Programme by Cabinet in September 2019. An approved capital budget of £25 million was assigned to the new Special Free School project</w:t>
      </w:r>
      <w:r w:rsidR="009D4836">
        <w:t>, a</w:t>
      </w:r>
      <w:r w:rsidR="009D4836" w:rsidRPr="009D4836">
        <w:t xml:space="preserve"> site was originally identified in the Woking area but that proved unviable within the existing </w:t>
      </w:r>
      <w:r w:rsidR="009D4836" w:rsidRPr="009D4836">
        <w:lastRenderedPageBreak/>
        <w:t>capital budget due to unforeseen site issues</w:t>
      </w:r>
      <w:r w:rsidR="009D4836">
        <w:t>. Since then,</w:t>
      </w:r>
      <w:r>
        <w:t xml:space="preserve"> some costs have been accrued against that </w:t>
      </w:r>
      <w:r w:rsidR="00594BDA">
        <w:t>budget,</w:t>
      </w:r>
      <w:r>
        <w:t xml:space="preserve"> but it is expected that approximately £24 million will be available for the build programme.</w:t>
      </w:r>
      <w:r w:rsidR="00482D8F">
        <w:t xml:space="preserve"> The site will be provided by SCC on a standard 125 year lease arrangement.</w:t>
      </w:r>
    </w:p>
    <w:p w14:paraId="6A346622" w14:textId="77777777" w:rsidR="00D748E2" w:rsidRDefault="00D748E2" w:rsidP="00F65B10"/>
    <w:p w14:paraId="7740B2D1" w14:textId="071C0886" w:rsidR="00CF0596" w:rsidRDefault="00CF0596" w:rsidP="00F65B10">
      <w:r>
        <w:t>In terms of revenue funding, places will be funded in line with existing SCC arrangements. This means that each pupil will attract base funding of £10,000</w:t>
      </w:r>
      <w:r w:rsidR="00852AAE">
        <w:t xml:space="preserve"> from the Education and Skills Funding Agency</w:t>
      </w:r>
      <w:r>
        <w:t xml:space="preserve"> plus a top-up figure based on the needs of the pupil</w:t>
      </w:r>
      <w:r w:rsidR="00594BDA">
        <w:t>s</w:t>
      </w:r>
      <w:r w:rsidR="00852AAE">
        <w:t xml:space="preserve"> through </w:t>
      </w:r>
      <w:r w:rsidR="00594BDA">
        <w:t>Surrey County Council’s</w:t>
      </w:r>
      <w:r w:rsidR="00852AAE">
        <w:t xml:space="preserve"> banding system</w:t>
      </w:r>
      <w:r>
        <w:t>. The current relevant top-up funding levels are as follows:</w:t>
      </w:r>
    </w:p>
    <w:p w14:paraId="50F783AA" w14:textId="77777777" w:rsidR="00F65B10" w:rsidRDefault="00F65B10" w:rsidP="00F65B10"/>
    <w:tbl>
      <w:tblPr>
        <w:tblStyle w:val="TableGrid"/>
        <w:tblW w:w="0" w:type="auto"/>
        <w:tblLook w:val="04A0" w:firstRow="1" w:lastRow="0" w:firstColumn="1" w:lastColumn="0" w:noHBand="0" w:noVBand="1"/>
        <w:tblCaption w:val="Table 6"/>
        <w:tblDescription w:val="This shows the top up funding levels for pupils of different ages ranging from £16,370 for primary pupils to £18,672 for post 16 students"/>
      </w:tblPr>
      <w:tblGrid>
        <w:gridCol w:w="5310"/>
        <w:gridCol w:w="5311"/>
      </w:tblGrid>
      <w:tr w:rsidR="00356E39" w14:paraId="43890743" w14:textId="77777777" w:rsidTr="00923B17">
        <w:tc>
          <w:tcPr>
            <w:tcW w:w="5310" w:type="dxa"/>
            <w:shd w:val="clear" w:color="auto" w:fill="auto"/>
            <w:vAlign w:val="bottom"/>
          </w:tcPr>
          <w:p w14:paraId="62208DFB" w14:textId="4A37A155" w:rsidR="00356E39" w:rsidRPr="00356E39" w:rsidRDefault="00356E39" w:rsidP="00356E39">
            <w:pPr>
              <w:jc w:val="center"/>
              <w:rPr>
                <w:rFonts w:cs="Arial"/>
                <w:b/>
                <w:bCs/>
              </w:rPr>
            </w:pPr>
            <w:r w:rsidRPr="00356E39">
              <w:rPr>
                <w:rFonts w:cs="Arial"/>
                <w:b/>
                <w:bCs/>
                <w:color w:val="000000"/>
                <w:sz w:val="22"/>
              </w:rPr>
              <w:t>Key Stage</w:t>
            </w:r>
          </w:p>
        </w:tc>
        <w:tc>
          <w:tcPr>
            <w:tcW w:w="5311" w:type="dxa"/>
            <w:shd w:val="clear" w:color="auto" w:fill="auto"/>
            <w:vAlign w:val="bottom"/>
          </w:tcPr>
          <w:p w14:paraId="15F3C2E8" w14:textId="533518F6" w:rsidR="00356E39" w:rsidRPr="00356E39" w:rsidRDefault="00356E39" w:rsidP="00356E39">
            <w:pPr>
              <w:jc w:val="center"/>
              <w:rPr>
                <w:rFonts w:cs="Arial"/>
                <w:b/>
                <w:bCs/>
              </w:rPr>
            </w:pPr>
            <w:r w:rsidRPr="00356E39">
              <w:rPr>
                <w:rFonts w:cs="Arial"/>
                <w:b/>
                <w:bCs/>
                <w:color w:val="000000"/>
                <w:sz w:val="22"/>
              </w:rPr>
              <w:t>Band S3</w:t>
            </w:r>
          </w:p>
        </w:tc>
      </w:tr>
      <w:tr w:rsidR="00356E39" w14:paraId="322D6E96" w14:textId="77777777" w:rsidTr="00115839">
        <w:tc>
          <w:tcPr>
            <w:tcW w:w="5310" w:type="dxa"/>
            <w:vAlign w:val="bottom"/>
          </w:tcPr>
          <w:p w14:paraId="7AE86C07" w14:textId="370B8277" w:rsidR="00356E39" w:rsidRPr="00356E39" w:rsidRDefault="00356E39" w:rsidP="00356E39">
            <w:pPr>
              <w:jc w:val="center"/>
              <w:rPr>
                <w:rFonts w:cs="Arial"/>
              </w:rPr>
            </w:pPr>
            <w:r w:rsidRPr="00356E39">
              <w:rPr>
                <w:rFonts w:cs="Arial"/>
                <w:color w:val="000000"/>
                <w:sz w:val="22"/>
              </w:rPr>
              <w:t>Primary</w:t>
            </w:r>
          </w:p>
        </w:tc>
        <w:tc>
          <w:tcPr>
            <w:tcW w:w="5311" w:type="dxa"/>
            <w:vAlign w:val="bottom"/>
          </w:tcPr>
          <w:p w14:paraId="41854ED1" w14:textId="4F98D4B0" w:rsidR="00356E39" w:rsidRPr="00356E39" w:rsidRDefault="00356E39" w:rsidP="00356E39">
            <w:pPr>
              <w:jc w:val="center"/>
              <w:rPr>
                <w:rFonts w:cs="Arial"/>
              </w:rPr>
            </w:pPr>
            <w:r w:rsidRPr="00356E39">
              <w:rPr>
                <w:rFonts w:cs="Arial"/>
                <w:color w:val="000000"/>
                <w:sz w:val="22"/>
              </w:rPr>
              <w:t>£16,370</w:t>
            </w:r>
          </w:p>
        </w:tc>
      </w:tr>
      <w:tr w:rsidR="00356E39" w14:paraId="36ADB085" w14:textId="77777777" w:rsidTr="00115839">
        <w:tc>
          <w:tcPr>
            <w:tcW w:w="5310" w:type="dxa"/>
            <w:vAlign w:val="bottom"/>
          </w:tcPr>
          <w:p w14:paraId="13F82EFC" w14:textId="35244C63" w:rsidR="00356E39" w:rsidRPr="00356E39" w:rsidRDefault="00356E39" w:rsidP="00356E39">
            <w:pPr>
              <w:jc w:val="center"/>
              <w:rPr>
                <w:rFonts w:cs="Arial"/>
              </w:rPr>
            </w:pPr>
            <w:r w:rsidRPr="00356E39">
              <w:rPr>
                <w:rFonts w:cs="Arial"/>
                <w:color w:val="000000"/>
                <w:sz w:val="22"/>
              </w:rPr>
              <w:t>KS3</w:t>
            </w:r>
          </w:p>
        </w:tc>
        <w:tc>
          <w:tcPr>
            <w:tcW w:w="5311" w:type="dxa"/>
            <w:vAlign w:val="bottom"/>
          </w:tcPr>
          <w:p w14:paraId="332F3FC1" w14:textId="4C9353BF" w:rsidR="00356E39" w:rsidRPr="00356E39" w:rsidRDefault="00356E39" w:rsidP="00356E39">
            <w:pPr>
              <w:jc w:val="center"/>
              <w:rPr>
                <w:rFonts w:cs="Arial"/>
              </w:rPr>
            </w:pPr>
            <w:r w:rsidRPr="00356E39">
              <w:rPr>
                <w:rFonts w:cs="Arial"/>
                <w:color w:val="000000"/>
                <w:sz w:val="22"/>
              </w:rPr>
              <w:t>£16,732</w:t>
            </w:r>
          </w:p>
        </w:tc>
      </w:tr>
      <w:tr w:rsidR="00356E39" w14:paraId="11C7CCD9" w14:textId="77777777" w:rsidTr="00115839">
        <w:tc>
          <w:tcPr>
            <w:tcW w:w="5310" w:type="dxa"/>
            <w:vAlign w:val="bottom"/>
          </w:tcPr>
          <w:p w14:paraId="4059BD40" w14:textId="4B00A1CD" w:rsidR="00356E39" w:rsidRPr="00356E39" w:rsidRDefault="00356E39" w:rsidP="00356E39">
            <w:pPr>
              <w:jc w:val="center"/>
              <w:rPr>
                <w:rFonts w:cs="Arial"/>
              </w:rPr>
            </w:pPr>
            <w:r w:rsidRPr="00356E39">
              <w:rPr>
                <w:rFonts w:cs="Arial"/>
                <w:color w:val="000000"/>
                <w:sz w:val="22"/>
              </w:rPr>
              <w:t>KS4</w:t>
            </w:r>
          </w:p>
        </w:tc>
        <w:tc>
          <w:tcPr>
            <w:tcW w:w="5311" w:type="dxa"/>
            <w:vAlign w:val="bottom"/>
          </w:tcPr>
          <w:p w14:paraId="4DBE1F69" w14:textId="724C0006" w:rsidR="00356E39" w:rsidRPr="00356E39" w:rsidRDefault="00356E39" w:rsidP="00356E39">
            <w:pPr>
              <w:jc w:val="center"/>
              <w:rPr>
                <w:rFonts w:cs="Arial"/>
              </w:rPr>
            </w:pPr>
            <w:r w:rsidRPr="00356E39">
              <w:rPr>
                <w:rFonts w:cs="Arial"/>
                <w:color w:val="000000"/>
                <w:sz w:val="22"/>
              </w:rPr>
              <w:t>£17,518</w:t>
            </w:r>
          </w:p>
        </w:tc>
      </w:tr>
      <w:tr w:rsidR="00356E39" w14:paraId="620297AC" w14:textId="77777777" w:rsidTr="00115839">
        <w:tc>
          <w:tcPr>
            <w:tcW w:w="5310" w:type="dxa"/>
            <w:vAlign w:val="bottom"/>
          </w:tcPr>
          <w:p w14:paraId="390A622C" w14:textId="68A9DC1D" w:rsidR="00356E39" w:rsidRPr="00356E39" w:rsidRDefault="00356E39" w:rsidP="00356E39">
            <w:pPr>
              <w:jc w:val="center"/>
              <w:rPr>
                <w:rFonts w:cs="Arial"/>
              </w:rPr>
            </w:pPr>
            <w:r w:rsidRPr="00356E39">
              <w:rPr>
                <w:rFonts w:cs="Arial"/>
                <w:color w:val="000000"/>
                <w:sz w:val="22"/>
              </w:rPr>
              <w:t>KS5</w:t>
            </w:r>
          </w:p>
        </w:tc>
        <w:tc>
          <w:tcPr>
            <w:tcW w:w="5311" w:type="dxa"/>
            <w:vAlign w:val="bottom"/>
          </w:tcPr>
          <w:p w14:paraId="5E64F472" w14:textId="576E4124" w:rsidR="00356E39" w:rsidRPr="00356E39" w:rsidRDefault="00356E39" w:rsidP="00356E39">
            <w:pPr>
              <w:jc w:val="center"/>
              <w:rPr>
                <w:rFonts w:cs="Arial"/>
              </w:rPr>
            </w:pPr>
            <w:r w:rsidRPr="00356E39">
              <w:rPr>
                <w:rFonts w:cs="Arial"/>
                <w:color w:val="000000"/>
                <w:sz w:val="22"/>
              </w:rPr>
              <w:t>£18,672</w:t>
            </w:r>
          </w:p>
        </w:tc>
      </w:tr>
    </w:tbl>
    <w:p w14:paraId="56EA12C9" w14:textId="77777777" w:rsidR="00356E39" w:rsidRDefault="00356E39" w:rsidP="00DE0AAF"/>
    <w:p w14:paraId="7AC30D9A" w14:textId="420959CB" w:rsidR="00CF0596" w:rsidRDefault="00CF0596" w:rsidP="00DE0AAF">
      <w:r>
        <w:t xml:space="preserve">Additional </w:t>
      </w:r>
      <w:r w:rsidR="000F018E">
        <w:t xml:space="preserve">revenue </w:t>
      </w:r>
      <w:r>
        <w:t xml:space="preserve">funding to support start-up costs will be agreed once </w:t>
      </w:r>
      <w:r w:rsidR="00D748E2">
        <w:t>the successful</w:t>
      </w:r>
      <w:r>
        <w:t xml:space="preserve"> sponsor has been </w:t>
      </w:r>
      <w:r w:rsidR="00D748E2">
        <w:t>confirmed.</w:t>
      </w:r>
    </w:p>
    <w:p w14:paraId="180D6666" w14:textId="551E1ADD" w:rsidR="004F6792" w:rsidRDefault="004F6792" w:rsidP="00DE0AAF"/>
    <w:p w14:paraId="7EF978E2" w14:textId="77777777" w:rsidR="004F6792" w:rsidRDefault="004F6792" w:rsidP="00DE0AAF"/>
    <w:p w14:paraId="615B9030" w14:textId="35FB795A" w:rsidR="00D034E5" w:rsidRPr="00211750" w:rsidRDefault="00D034E5" w:rsidP="00D034E5">
      <w:pPr>
        <w:pStyle w:val="Heading2"/>
      </w:pPr>
      <w:r w:rsidRPr="00D034E5">
        <w:t>Section G - Impact and Equalities Assessments</w:t>
      </w:r>
    </w:p>
    <w:p w14:paraId="78B76F50" w14:textId="5B477E9F" w:rsidR="00D034E5" w:rsidRDefault="00D034E5" w:rsidP="00D034E5">
      <w:r>
        <w:t xml:space="preserve">As prescribed by </w:t>
      </w:r>
      <w:hyperlink r:id="rId34" w:anchor=":~:text=%5BF19Impact%3A%20new%20and%20expanded%20educational%20institutions&amp;text=(b)it%20provides%20education%20for,it%20replaces%2C%20taken%20together)." w:history="1">
        <w:r w:rsidR="000F018E">
          <w:rPr>
            <w:rStyle w:val="Hyperlink"/>
          </w:rPr>
          <w:t>Section 9 Academies Act 2010</w:t>
        </w:r>
      </w:hyperlink>
      <w:r w:rsidR="000F018E">
        <w:t xml:space="preserve"> </w:t>
      </w:r>
      <w:r>
        <w:t>and</w:t>
      </w:r>
      <w:r w:rsidR="000F018E">
        <w:t xml:space="preserve"> </w:t>
      </w:r>
      <w:hyperlink r:id="rId35" w:history="1">
        <w:r w:rsidR="000F018E">
          <w:rPr>
            <w:rStyle w:val="Hyperlink"/>
          </w:rPr>
          <w:t>Section 149 Equality Act 2010</w:t>
        </w:r>
      </w:hyperlink>
      <w:r>
        <w:t>, the local authority must assess the potential impact of any new school on existing educational provision in the area. The local authority must also consider whether the new school would impact on any groups with protected characteristics.</w:t>
      </w:r>
    </w:p>
    <w:p w14:paraId="3C0CAA4E" w14:textId="6AF342C7" w:rsidR="00820839" w:rsidRDefault="00820839" w:rsidP="00D034E5"/>
    <w:p w14:paraId="30363E22" w14:textId="4367E741" w:rsidR="00D034E5" w:rsidRDefault="00852AAE" w:rsidP="00D034E5">
      <w:r>
        <w:t xml:space="preserve">Whilst the school will be responsible for its own compliance with equalities legislation and the formation and lawful implementation of policy in this area, it is not considered that the establishment of this new school will impact particularly on people with protected characteristics. Some of the children and young people who will attend the school will likely fall within the definition of disabled as set out in the Equality Act 2010. The impact on the </w:t>
      </w:r>
      <w:r w:rsidR="000F018E">
        <w:t xml:space="preserve">autistic </w:t>
      </w:r>
      <w:r w:rsidR="00594BDA">
        <w:t>pupils</w:t>
      </w:r>
      <w:r>
        <w:t xml:space="preserve"> of </w:t>
      </w:r>
      <w:r w:rsidR="00594BDA">
        <w:t>Surrey</w:t>
      </w:r>
      <w:r w:rsidR="000F018E">
        <w:t xml:space="preserve"> and those with Communication &amp; Interaction needs that require a special school placement</w:t>
      </w:r>
      <w:r>
        <w:t xml:space="preserve"> will be a positive one. The arrival of th</w:t>
      </w:r>
      <w:r w:rsidR="000F018E">
        <w:t xml:space="preserve">e new special </w:t>
      </w:r>
      <w:r>
        <w:t>school will enable them to have their identified educationa</w:t>
      </w:r>
      <w:r w:rsidR="000F018E">
        <w:t>l</w:t>
      </w:r>
      <w:r>
        <w:t xml:space="preserve"> needs met closer to home and in the county in which they live, without the need to travel often long distances out of area.</w:t>
      </w:r>
    </w:p>
    <w:p w14:paraId="2E67DB7A" w14:textId="67A48F32" w:rsidR="00D034E5" w:rsidRPr="0028671A" w:rsidRDefault="00D034E5" w:rsidP="00D034E5"/>
    <w:sectPr w:rsidR="00D034E5" w:rsidRPr="0028671A" w:rsidSect="00C75C69">
      <w:headerReference w:type="even" r:id="rId36"/>
      <w:headerReference w:type="default" r:id="rId37"/>
      <w:footerReference w:type="default" r:id="rId38"/>
      <w:headerReference w:type="first" r:id="rId39"/>
      <w:pgSz w:w="11906" w:h="16838"/>
      <w:pgMar w:top="1115" w:right="566" w:bottom="1134"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893E" w14:textId="77777777" w:rsidR="00E117FE" w:rsidRDefault="00E117FE" w:rsidP="000E1268">
      <w:r>
        <w:separator/>
      </w:r>
    </w:p>
  </w:endnote>
  <w:endnote w:type="continuationSeparator" w:id="0">
    <w:p w14:paraId="4F50A5E5" w14:textId="77777777" w:rsidR="00E117FE" w:rsidRDefault="00E117FE"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3592" w14:textId="77777777" w:rsidR="00594BDA" w:rsidRDefault="0059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FDD7" w14:textId="77777777" w:rsidR="00594BDA" w:rsidRDefault="00594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D021" w14:textId="77777777" w:rsidR="00594BDA" w:rsidRDefault="00594B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B88A" w14:textId="77777777"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D34B6A">
          <w:fldChar w:fldCharType="begin"/>
        </w:r>
        <w:r w:rsidR="00C75C69">
          <w:instrText xml:space="preserve"> PAGE   \* MERGEFORMAT </w:instrText>
        </w:r>
        <w:r w:rsidR="00D34B6A">
          <w:fldChar w:fldCharType="separate"/>
        </w:r>
        <w:r w:rsidR="00DB58A7">
          <w:rPr>
            <w:noProof/>
          </w:rPr>
          <w:t>2</w:t>
        </w:r>
        <w:r w:rsidR="00D34B6A">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9805" w14:textId="77777777" w:rsidR="00E117FE" w:rsidRDefault="00E117FE" w:rsidP="000E1268">
      <w:r>
        <w:separator/>
      </w:r>
    </w:p>
  </w:footnote>
  <w:footnote w:type="continuationSeparator" w:id="0">
    <w:p w14:paraId="55ED0583" w14:textId="77777777" w:rsidR="00E117FE" w:rsidRDefault="00E117FE"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2CDC" w14:textId="580C0558" w:rsidR="00594BDA" w:rsidRDefault="0059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4553" w14:textId="6035F64E" w:rsidR="00594BDA" w:rsidRDefault="0059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C68F" w14:textId="1A1FFBCF" w:rsidR="00594BDA" w:rsidRDefault="00594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60EC" w14:textId="050AFA47" w:rsidR="004C2D36" w:rsidRDefault="004C2D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BE4D" w14:textId="11303410" w:rsidR="00A60B12" w:rsidRDefault="0060254E" w:rsidP="00A60B12">
    <w:pPr>
      <w:pStyle w:val="Header"/>
      <w:jc w:val="right"/>
    </w:pPr>
    <w:r>
      <w:t>Specification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AD19" w14:textId="1136F969" w:rsidR="004C2D36" w:rsidRDefault="004C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3144"/>
    <w:multiLevelType w:val="hybridMultilevel"/>
    <w:tmpl w:val="57A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E47DA"/>
    <w:multiLevelType w:val="multilevel"/>
    <w:tmpl w:val="7B16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12A8D"/>
    <w:multiLevelType w:val="hybridMultilevel"/>
    <w:tmpl w:val="178E0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43213C"/>
    <w:multiLevelType w:val="hybridMultilevel"/>
    <w:tmpl w:val="5B54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B63A8"/>
    <w:multiLevelType w:val="hybridMultilevel"/>
    <w:tmpl w:val="C7E40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F434AB"/>
    <w:multiLevelType w:val="hybridMultilevel"/>
    <w:tmpl w:val="8258E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4E12D5"/>
    <w:multiLevelType w:val="hybridMultilevel"/>
    <w:tmpl w:val="237E0DB6"/>
    <w:lvl w:ilvl="0" w:tplc="CB06629E">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40AB8"/>
    <w:multiLevelType w:val="hybridMultilevel"/>
    <w:tmpl w:val="D9842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96540"/>
    <w:multiLevelType w:val="hybridMultilevel"/>
    <w:tmpl w:val="23C0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BD0AFA"/>
    <w:multiLevelType w:val="hybridMultilevel"/>
    <w:tmpl w:val="E910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11"/>
  </w:num>
  <w:num w:numId="5">
    <w:abstractNumId w:val="15"/>
  </w:num>
  <w:num w:numId="6">
    <w:abstractNumId w:val="0"/>
  </w:num>
  <w:num w:numId="7">
    <w:abstractNumId w:val="6"/>
  </w:num>
  <w:num w:numId="8">
    <w:abstractNumId w:val="5"/>
  </w:num>
  <w:num w:numId="9">
    <w:abstractNumId w:val="3"/>
  </w:num>
  <w:num w:numId="10">
    <w:abstractNumId w:val="13"/>
  </w:num>
  <w:num w:numId="11">
    <w:abstractNumId w:val="2"/>
  </w:num>
  <w:num w:numId="12">
    <w:abstractNumId w:val="14"/>
  </w:num>
  <w:num w:numId="13">
    <w:abstractNumId w:val="14"/>
  </w:num>
  <w:num w:numId="14">
    <w:abstractNumId w:val="14"/>
  </w:num>
  <w:num w:numId="15">
    <w:abstractNumId w:val="14"/>
  </w:num>
  <w:num w:numId="16">
    <w:abstractNumId w:val="14"/>
  </w:num>
  <w:num w:numId="17">
    <w:abstractNumId w:val="12"/>
  </w:num>
  <w:num w:numId="18">
    <w:abstractNumId w:val="4"/>
  </w:num>
  <w:num w:numId="19">
    <w:abstractNumId w:val="1"/>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10EBE"/>
    <w:rsid w:val="0002540C"/>
    <w:rsid w:val="000370FE"/>
    <w:rsid w:val="00041B45"/>
    <w:rsid w:val="00047752"/>
    <w:rsid w:val="000D6962"/>
    <w:rsid w:val="000E1268"/>
    <w:rsid w:val="000E46B8"/>
    <w:rsid w:val="000F018E"/>
    <w:rsid w:val="000F0D90"/>
    <w:rsid w:val="000F6F76"/>
    <w:rsid w:val="00107F81"/>
    <w:rsid w:val="0011275B"/>
    <w:rsid w:val="00114EC4"/>
    <w:rsid w:val="0011544B"/>
    <w:rsid w:val="00142376"/>
    <w:rsid w:val="00142816"/>
    <w:rsid w:val="001547D2"/>
    <w:rsid w:val="001552CC"/>
    <w:rsid w:val="001569DC"/>
    <w:rsid w:val="00194852"/>
    <w:rsid w:val="00197C69"/>
    <w:rsid w:val="001A067D"/>
    <w:rsid w:val="001B3E6D"/>
    <w:rsid w:val="001C3F0B"/>
    <w:rsid w:val="001D2161"/>
    <w:rsid w:val="001D409A"/>
    <w:rsid w:val="001E1A26"/>
    <w:rsid w:val="00211750"/>
    <w:rsid w:val="00216052"/>
    <w:rsid w:val="00221375"/>
    <w:rsid w:val="00235DE6"/>
    <w:rsid w:val="00250F42"/>
    <w:rsid w:val="002513D8"/>
    <w:rsid w:val="00267114"/>
    <w:rsid w:val="0027625A"/>
    <w:rsid w:val="0028583C"/>
    <w:rsid w:val="0028671A"/>
    <w:rsid w:val="002919AF"/>
    <w:rsid w:val="002D16B3"/>
    <w:rsid w:val="002D2331"/>
    <w:rsid w:val="002D37DA"/>
    <w:rsid w:val="002E7C3C"/>
    <w:rsid w:val="002F52B7"/>
    <w:rsid w:val="00307F69"/>
    <w:rsid w:val="00333804"/>
    <w:rsid w:val="00341176"/>
    <w:rsid w:val="00352D43"/>
    <w:rsid w:val="00355C2A"/>
    <w:rsid w:val="00356E39"/>
    <w:rsid w:val="003963CC"/>
    <w:rsid w:val="003B48AC"/>
    <w:rsid w:val="003E60C8"/>
    <w:rsid w:val="003E6708"/>
    <w:rsid w:val="003F32C8"/>
    <w:rsid w:val="003F3D4B"/>
    <w:rsid w:val="0041186D"/>
    <w:rsid w:val="00411FA3"/>
    <w:rsid w:val="00420223"/>
    <w:rsid w:val="004205E0"/>
    <w:rsid w:val="00431A23"/>
    <w:rsid w:val="00437370"/>
    <w:rsid w:val="00457FFB"/>
    <w:rsid w:val="00482D8F"/>
    <w:rsid w:val="0049696C"/>
    <w:rsid w:val="004C2D36"/>
    <w:rsid w:val="004E39F0"/>
    <w:rsid w:val="004E6E0E"/>
    <w:rsid w:val="004F069A"/>
    <w:rsid w:val="004F15BA"/>
    <w:rsid w:val="004F6792"/>
    <w:rsid w:val="005170D5"/>
    <w:rsid w:val="00536C62"/>
    <w:rsid w:val="00556039"/>
    <w:rsid w:val="00574010"/>
    <w:rsid w:val="0057411A"/>
    <w:rsid w:val="00587ABB"/>
    <w:rsid w:val="00594BDA"/>
    <w:rsid w:val="005A4379"/>
    <w:rsid w:val="005C6AD0"/>
    <w:rsid w:val="005F080E"/>
    <w:rsid w:val="005F13AF"/>
    <w:rsid w:val="0060254E"/>
    <w:rsid w:val="006155E0"/>
    <w:rsid w:val="00635402"/>
    <w:rsid w:val="00671833"/>
    <w:rsid w:val="00674A1E"/>
    <w:rsid w:val="00685182"/>
    <w:rsid w:val="006954E3"/>
    <w:rsid w:val="006A26BD"/>
    <w:rsid w:val="006A5BE0"/>
    <w:rsid w:val="006C39D7"/>
    <w:rsid w:val="006C3CCA"/>
    <w:rsid w:val="006C55F7"/>
    <w:rsid w:val="0070103F"/>
    <w:rsid w:val="007346BD"/>
    <w:rsid w:val="00761286"/>
    <w:rsid w:val="007713F1"/>
    <w:rsid w:val="00776A1F"/>
    <w:rsid w:val="00795FF9"/>
    <w:rsid w:val="007D6294"/>
    <w:rsid w:val="007E17F1"/>
    <w:rsid w:val="00802F99"/>
    <w:rsid w:val="00813173"/>
    <w:rsid w:val="00820839"/>
    <w:rsid w:val="00844FEE"/>
    <w:rsid w:val="008461B6"/>
    <w:rsid w:val="00852AAE"/>
    <w:rsid w:val="008740E5"/>
    <w:rsid w:val="00874DB3"/>
    <w:rsid w:val="008C34B2"/>
    <w:rsid w:val="008D4B80"/>
    <w:rsid w:val="008D70FD"/>
    <w:rsid w:val="008E019A"/>
    <w:rsid w:val="008E709F"/>
    <w:rsid w:val="00907341"/>
    <w:rsid w:val="00923B17"/>
    <w:rsid w:val="009333E5"/>
    <w:rsid w:val="0094546F"/>
    <w:rsid w:val="00950188"/>
    <w:rsid w:val="00956621"/>
    <w:rsid w:val="00995255"/>
    <w:rsid w:val="009A2C63"/>
    <w:rsid w:val="009B4FC7"/>
    <w:rsid w:val="009D4836"/>
    <w:rsid w:val="00A040F2"/>
    <w:rsid w:val="00A32BCF"/>
    <w:rsid w:val="00A33C74"/>
    <w:rsid w:val="00A35EE3"/>
    <w:rsid w:val="00A51EC2"/>
    <w:rsid w:val="00A60116"/>
    <w:rsid w:val="00A60B12"/>
    <w:rsid w:val="00A97FB3"/>
    <w:rsid w:val="00AB4C38"/>
    <w:rsid w:val="00AC2459"/>
    <w:rsid w:val="00AE2108"/>
    <w:rsid w:val="00AE397C"/>
    <w:rsid w:val="00B13706"/>
    <w:rsid w:val="00B17D47"/>
    <w:rsid w:val="00B34ACA"/>
    <w:rsid w:val="00B67E76"/>
    <w:rsid w:val="00B725ED"/>
    <w:rsid w:val="00B83A8A"/>
    <w:rsid w:val="00BF4EDB"/>
    <w:rsid w:val="00C35093"/>
    <w:rsid w:val="00C75C69"/>
    <w:rsid w:val="00CA4801"/>
    <w:rsid w:val="00CE0925"/>
    <w:rsid w:val="00CE2868"/>
    <w:rsid w:val="00CF0596"/>
    <w:rsid w:val="00CF18CF"/>
    <w:rsid w:val="00CF516F"/>
    <w:rsid w:val="00CF588B"/>
    <w:rsid w:val="00D034E5"/>
    <w:rsid w:val="00D144EC"/>
    <w:rsid w:val="00D20C80"/>
    <w:rsid w:val="00D211B0"/>
    <w:rsid w:val="00D21F08"/>
    <w:rsid w:val="00D30FA2"/>
    <w:rsid w:val="00D312D2"/>
    <w:rsid w:val="00D34B6A"/>
    <w:rsid w:val="00D46D1F"/>
    <w:rsid w:val="00D63B85"/>
    <w:rsid w:val="00D748E2"/>
    <w:rsid w:val="00D97977"/>
    <w:rsid w:val="00DB58A7"/>
    <w:rsid w:val="00DC1AA6"/>
    <w:rsid w:val="00DC5C3F"/>
    <w:rsid w:val="00DE0AAF"/>
    <w:rsid w:val="00DF1980"/>
    <w:rsid w:val="00E117FE"/>
    <w:rsid w:val="00E65EF8"/>
    <w:rsid w:val="00E666E2"/>
    <w:rsid w:val="00E85C63"/>
    <w:rsid w:val="00EA5996"/>
    <w:rsid w:val="00EA667F"/>
    <w:rsid w:val="00EC1B8F"/>
    <w:rsid w:val="00ED4779"/>
    <w:rsid w:val="00ED5CFD"/>
    <w:rsid w:val="00EE09D2"/>
    <w:rsid w:val="00EF0F48"/>
    <w:rsid w:val="00F10580"/>
    <w:rsid w:val="00F33696"/>
    <w:rsid w:val="00F47AB6"/>
    <w:rsid w:val="00F65B10"/>
    <w:rsid w:val="00F67F51"/>
    <w:rsid w:val="00F904F3"/>
    <w:rsid w:val="00FC0AF8"/>
    <w:rsid w:val="00FC7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186e3f" stroke="f">
      <v:fill color="#186e3f"/>
      <v:stroke on="f"/>
    </o:shapedefaults>
    <o:shapelayout v:ext="edit">
      <o:idmap v:ext="edit" data="1"/>
    </o:shapelayout>
  </w:shapeDefaults>
  <w:decimalSymbol w:val="."/>
  <w:listSeparator w:val=","/>
  <w14:docId w14:val="76CCE5D3"/>
  <w15:docId w15:val="{E768C3D0-DA8D-4E8F-8E83-5F418C4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B"/>
    <w:pPr>
      <w:spacing w:after="0" w:line="240" w:lineRule="auto"/>
    </w:pPr>
    <w:rPr>
      <w:rFonts w:ascii="Arial" w:hAnsi="Arial"/>
      <w:sz w:val="24"/>
    </w:rPr>
  </w:style>
  <w:style w:type="paragraph" w:styleId="Heading1">
    <w:name w:val="heading 1"/>
    <w:basedOn w:val="Normal"/>
    <w:next w:val="Normal"/>
    <w:link w:val="Heading1Char"/>
    <w:uiPriority w:val="9"/>
    <w:qFormat/>
    <w:rsid w:val="00CE2868"/>
    <w:pPr>
      <w:keepNext/>
      <w:keepLines/>
      <w:spacing w:after="200"/>
      <w:outlineLvl w:val="0"/>
    </w:pPr>
    <w:rPr>
      <w:rFonts w:eastAsiaTheme="majorEastAsia" w:cstheme="majorBidi"/>
      <w:bCs/>
      <w:color w:val="054C34"/>
      <w:sz w:val="80"/>
      <w:szCs w:val="80"/>
    </w:rPr>
  </w:style>
  <w:style w:type="paragraph" w:styleId="Heading2">
    <w:name w:val="heading 2"/>
    <w:basedOn w:val="Normal"/>
    <w:next w:val="Normal"/>
    <w:link w:val="Heading2Char"/>
    <w:uiPriority w:val="9"/>
    <w:qFormat/>
    <w:rsid w:val="00CE2868"/>
    <w:pPr>
      <w:keepNext/>
      <w:keepLines/>
      <w:spacing w:after="20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 w:val="28"/>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BF4EDB"/>
    <w:rPr>
      <w:rFonts w:ascii="Arial" w:hAnsi="Arial"/>
      <w:sz w:val="24"/>
    </w:rPr>
  </w:style>
  <w:style w:type="character" w:customStyle="1" w:styleId="Heading1Char">
    <w:name w:val="Heading 1 Char"/>
    <w:basedOn w:val="DefaultParagraphFont"/>
    <w:link w:val="Heading1"/>
    <w:uiPriority w:val="9"/>
    <w:rsid w:val="00CE2868"/>
    <w:rPr>
      <w:rFonts w:ascii="Arial" w:eastAsiaTheme="majorEastAsia" w:hAnsi="Arial" w:cstheme="majorBidi"/>
      <w:bCs/>
      <w:color w:val="054C34"/>
      <w:sz w:val="80"/>
      <w:szCs w:val="80"/>
    </w:rPr>
  </w:style>
  <w:style w:type="character" w:customStyle="1" w:styleId="Heading2Char">
    <w:name w:val="Heading 2 Char"/>
    <w:basedOn w:val="DefaultParagraphFont"/>
    <w:link w:val="Heading2"/>
    <w:uiPriority w:val="9"/>
    <w:rsid w:val="00EE09D2"/>
    <w:rPr>
      <w:rFonts w:ascii="Arial" w:eastAsiaTheme="majorEastAsia" w:hAnsi="Arial" w:cstheme="majorBidi"/>
      <w:b/>
      <w:bCs/>
      <w:color w:val="000000" w:themeColor="text1"/>
      <w:sz w:val="36"/>
      <w:szCs w:val="40"/>
    </w:rPr>
  </w:style>
  <w:style w:type="paragraph" w:styleId="ListParagraph">
    <w:name w:val="List Paragraph"/>
    <w:basedOn w:val="Normal"/>
    <w:link w:val="ListParagraphChar"/>
    <w:uiPriority w:val="34"/>
    <w:qFormat/>
    <w:rsid w:val="0028671A"/>
    <w:pPr>
      <w:numPr>
        <w:numId w:val="3"/>
      </w:numPr>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DE0AAF"/>
    <w:rPr>
      <w:color w:val="605E5C"/>
      <w:shd w:val="clear" w:color="auto" w:fill="E1DFDD"/>
    </w:rPr>
  </w:style>
  <w:style w:type="table" w:styleId="TableGrid">
    <w:name w:val="Table Grid"/>
    <w:basedOn w:val="TableNormal"/>
    <w:uiPriority w:val="59"/>
    <w:rsid w:val="0015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56039"/>
    <w:rPr>
      <w:sz w:val="16"/>
      <w:szCs w:val="16"/>
    </w:rPr>
  </w:style>
  <w:style w:type="paragraph" w:styleId="CommentText">
    <w:name w:val="annotation text"/>
    <w:basedOn w:val="Normal"/>
    <w:link w:val="CommentTextChar"/>
    <w:uiPriority w:val="99"/>
    <w:semiHidden/>
    <w:rsid w:val="00556039"/>
    <w:rPr>
      <w:sz w:val="20"/>
      <w:szCs w:val="20"/>
    </w:rPr>
  </w:style>
  <w:style w:type="character" w:customStyle="1" w:styleId="CommentTextChar">
    <w:name w:val="Comment Text Char"/>
    <w:basedOn w:val="DefaultParagraphFont"/>
    <w:link w:val="CommentText"/>
    <w:uiPriority w:val="99"/>
    <w:semiHidden/>
    <w:rsid w:val="005560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56039"/>
    <w:rPr>
      <w:b/>
      <w:bCs/>
    </w:rPr>
  </w:style>
  <w:style w:type="character" w:customStyle="1" w:styleId="CommentSubjectChar">
    <w:name w:val="Comment Subject Char"/>
    <w:basedOn w:val="CommentTextChar"/>
    <w:link w:val="CommentSubject"/>
    <w:uiPriority w:val="99"/>
    <w:semiHidden/>
    <w:rsid w:val="00556039"/>
    <w:rPr>
      <w:rFonts w:ascii="Arial" w:hAnsi="Arial"/>
      <w:b/>
      <w:bCs/>
      <w:sz w:val="20"/>
      <w:szCs w:val="20"/>
    </w:rPr>
  </w:style>
  <w:style w:type="paragraph" w:customStyle="1" w:styleId="Default">
    <w:name w:val="Default"/>
    <w:rsid w:val="0027625A"/>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6954E3"/>
    <w:pPr>
      <w:spacing w:before="100" w:beforeAutospacing="1" w:after="100" w:afterAutospacing="1"/>
    </w:pPr>
    <w:rPr>
      <w:rFonts w:ascii="Times New Roman" w:eastAsia="Times New Roman" w:hAnsi="Times New Roman" w:cs="Times New Roman"/>
      <w:szCs w:val="24"/>
      <w:lang w:eastAsia="en-GB"/>
    </w:rPr>
  </w:style>
  <w:style w:type="character" w:customStyle="1" w:styleId="ListParagraphChar">
    <w:name w:val="List Paragraph Char"/>
    <w:basedOn w:val="DefaultParagraphFont"/>
    <w:link w:val="ListParagraph"/>
    <w:uiPriority w:val="34"/>
    <w:rsid w:val="00107F8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5051">
      <w:bodyDiv w:val="1"/>
      <w:marLeft w:val="0"/>
      <w:marRight w:val="0"/>
      <w:marTop w:val="0"/>
      <w:marBottom w:val="0"/>
      <w:divBdr>
        <w:top w:val="none" w:sz="0" w:space="0" w:color="auto"/>
        <w:left w:val="none" w:sz="0" w:space="0" w:color="auto"/>
        <w:bottom w:val="none" w:sz="0" w:space="0" w:color="auto"/>
        <w:right w:val="none" w:sz="0" w:space="0" w:color="auto"/>
      </w:divBdr>
    </w:div>
    <w:div w:id="137453983">
      <w:bodyDiv w:val="1"/>
      <w:marLeft w:val="0"/>
      <w:marRight w:val="0"/>
      <w:marTop w:val="0"/>
      <w:marBottom w:val="0"/>
      <w:divBdr>
        <w:top w:val="none" w:sz="0" w:space="0" w:color="auto"/>
        <w:left w:val="none" w:sz="0" w:space="0" w:color="auto"/>
        <w:bottom w:val="none" w:sz="0" w:space="0" w:color="auto"/>
        <w:right w:val="none" w:sz="0" w:space="0" w:color="auto"/>
      </w:divBdr>
    </w:div>
    <w:div w:id="916205934">
      <w:bodyDiv w:val="1"/>
      <w:marLeft w:val="0"/>
      <w:marRight w:val="0"/>
      <w:marTop w:val="0"/>
      <w:marBottom w:val="0"/>
      <w:divBdr>
        <w:top w:val="none" w:sz="0" w:space="0" w:color="auto"/>
        <w:left w:val="none" w:sz="0" w:space="0" w:color="auto"/>
        <w:bottom w:val="none" w:sz="0" w:space="0" w:color="auto"/>
        <w:right w:val="none" w:sz="0" w:space="0" w:color="auto"/>
      </w:divBdr>
    </w:div>
    <w:div w:id="18835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844346/Free_school_presumption_051119.pdf" TargetMode="External"/><Relationship Id="rId26" Type="http://schemas.openxmlformats.org/officeDocument/2006/relationships/hyperlink" Target="https://www.surreycc.gov.uk/council-and-democracy/finance-and-performance/our-performance/our-organisation-strategy/community-vision-for-surrey-in-2030" TargetMode="External"/><Relationship Id="rId39" Type="http://schemas.openxmlformats.org/officeDocument/2006/relationships/header" Target="header6.xml"/><Relationship Id="rId21" Type="http://schemas.openxmlformats.org/officeDocument/2006/relationships/hyperlink" Target="https://www.surreysays.co.uk/csf/proposed-new-asc-special-free-school-surrey/results/proposednewasddesignatedspecialfreeschoolapplicationform.docx" TargetMode="External"/><Relationship Id="rId34" Type="http://schemas.openxmlformats.org/officeDocument/2006/relationships/hyperlink" Target="https://www.legislation.gov.uk/ukpga/2010/32/section/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rreysays.co.uk/csf/proposed-new-asc-special-free-school-surrey/results/proposednewasddesignatedspecialfreeschoolapplicationform.docx" TargetMode="External"/><Relationship Id="rId20" Type="http://schemas.openxmlformats.org/officeDocument/2006/relationships/hyperlink" Target="https://www.gov.uk/guidance/sponsor-an-academy" TargetMode="External"/><Relationship Id="rId29" Type="http://schemas.openxmlformats.org/officeDocument/2006/relationships/hyperlink" Target="https://assets.publishing.service.gov.uk/government/uploads/system/uploads/attachment_data/file/706177/Free_school_presumption_AnnexC-_Model_criteria_for_LAs_and_proposer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urreycc.gov.uk/schools-and-learning/schools/admissions/child-with-a-ehcp" TargetMode="External"/><Relationship Id="rId32" Type="http://schemas.openxmlformats.org/officeDocument/2006/relationships/hyperlink" Target="https://assets.publishing.service.gov.uk/government/uploads/system/uploads/attachment_data/file/706177/Free_school_presumption_AnnexC-_Model_criteria_for_LAs_and_proposers.pdf"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2.png"/><Relationship Id="rId28" Type="http://schemas.openxmlformats.org/officeDocument/2006/relationships/hyperlink" Target="https://www.surreysays.co.uk/csf/proposed-new-asc-special-free-school-surrey/results/equality-impact-assessment.docx"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Emilie.WilliamsJones@surreycc.gov.uk" TargetMode="External"/><Relationship Id="rId31" Type="http://schemas.openxmlformats.org/officeDocument/2006/relationships/hyperlink" Target="https://assets.publishing.service.gov.uk/government/uploads/system/uploads/attachment_data/file/398815/SEND_Code_of_Practice_January_2015.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gov.uk/government/publications/area-guidelines-and-net-capacity" TargetMode="External"/><Relationship Id="rId27" Type="http://schemas.openxmlformats.org/officeDocument/2006/relationships/hyperlink" Target="https://www.surreylocaloffer.org.uk/news/surrey-send-partnership-strategy-2019-2022" TargetMode="External"/><Relationship Id="rId30" Type="http://schemas.openxmlformats.org/officeDocument/2006/relationships/hyperlink" Target="https://www.surreycc.gov.uk/adults/disabilities/spb/apb/sapb" TargetMode="External"/><Relationship Id="rId35" Type="http://schemas.openxmlformats.org/officeDocument/2006/relationships/hyperlink" Target="https://www.legislation.gov.uk/ukpga/2010/15/section/149"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peter.speers@surreycc.gov.uk" TargetMode="External"/><Relationship Id="rId25" Type="http://schemas.openxmlformats.org/officeDocument/2006/relationships/hyperlink" Target="https://www.surreycc.gov.uk/schools-and-learning/schools/transport" TargetMode="External"/><Relationship Id="rId33" Type="http://schemas.openxmlformats.org/officeDocument/2006/relationships/hyperlink" Target="https://assets.publishing.service.gov.uk/government/uploads/system/uploads/attachment_data/file/706177/Free_school_presumption_AnnexC-_Model_criteria_for_LAs_and_proposers.pdf" TargetMode="External"/><Relationship Id="rId38"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EHCPs</a:t>
            </a:r>
            <a:r>
              <a:rPr lang="en-US" baseline="0"/>
              <a:t> (Austism as Primary Need) in 2020 by Gender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EHCPs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55-4BDB-BBB5-39686B150C3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55-4BDB-BBB5-39686B150C3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Male</c:v>
                </c:pt>
                <c:pt idx="1">
                  <c:v>Female</c:v>
                </c:pt>
              </c:strCache>
            </c:strRef>
          </c:cat>
          <c:val>
            <c:numRef>
              <c:f>Sheet1!$B$2:$B$3</c:f>
              <c:numCache>
                <c:formatCode>General</c:formatCode>
                <c:ptCount val="2"/>
                <c:pt idx="0">
                  <c:v>81</c:v>
                </c:pt>
                <c:pt idx="1">
                  <c:v>19</c:v>
                </c:pt>
              </c:numCache>
            </c:numRef>
          </c:val>
          <c:extLst>
            <c:ext xmlns:c16="http://schemas.microsoft.com/office/drawing/2014/chart" uri="{C3380CC4-5D6E-409C-BE32-E72D297353CC}">
              <c16:uniqueId val="{00000000-C3C5-450E-990D-C63546446CAA}"/>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69EBA-C5CC-4B15-8B78-4E78695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dc:description/>
  <cp:lastModifiedBy>Peter Speers</cp:lastModifiedBy>
  <cp:revision>3</cp:revision>
  <cp:lastPrinted>2022-02-28T10:44:00Z</cp:lastPrinted>
  <dcterms:created xsi:type="dcterms:W3CDTF">2022-03-08T11:33:00Z</dcterms:created>
  <dcterms:modified xsi:type="dcterms:W3CDTF">2022-03-08T14:55:00Z</dcterms:modified>
</cp:coreProperties>
</file>