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8FB82" w14:textId="39E4EE5E" w:rsidR="00A040F2" w:rsidRDefault="00E85C63" w:rsidP="00A040F2">
      <w:r>
        <w:rPr>
          <w:noProof/>
          <w:lang w:eastAsia="en-GB"/>
        </w:rPr>
        <mc:AlternateContent>
          <mc:Choice Requires="wps">
            <w:drawing>
              <wp:anchor distT="0" distB="0" distL="114300" distR="114300" simplePos="0" relativeHeight="251657727" behindDoc="0" locked="0" layoutInCell="1" allowOverlap="1" wp14:anchorId="03A08A98" wp14:editId="63865E42">
                <wp:simplePos x="0" y="0"/>
                <wp:positionH relativeFrom="column">
                  <wp:posOffset>-470535</wp:posOffset>
                </wp:positionH>
                <wp:positionV relativeFrom="paragraph">
                  <wp:posOffset>-369570</wp:posOffset>
                </wp:positionV>
                <wp:extent cx="8075930" cy="10770235"/>
                <wp:effectExtent l="0" t="0" r="0" b="0"/>
                <wp:wrapNone/>
                <wp:docPr id="3" name="Freeform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chemeClr val="tx2">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A5EA" id="Freeform 4" o:spid="_x0000_s1026" alt="&quot;&quot;" style="position:absolute;margin-left:-37.05pt;margin-top:-29.1pt;width:635.9pt;height:848.0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" path="m224,1123v572,,572,,572,c796,91,796,91,796,91v-48,8,-98,16,-156,33c552,150,396,218,441,364v50,162,301,15,337,158c842,779,339,686,247,932v-23,62,-30,127,-23,191m227,c143,,143,,143,,84,108,38,214,2,314v,809,,809,,809c53,1123,53,1123,53,1123,,781,52,407,227,e" fillcolor="#17365d [2415]"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v:shape>
            </w:pict>
          </mc:Fallback>
        </mc:AlternateContent>
      </w:r>
    </w:p>
    <w:p w14:paraId="63A577C7" w14:textId="6B545F84" w:rsidR="00A040F2" w:rsidRDefault="00A040F2" w:rsidP="0028671A"/>
    <w:p w14:paraId="5DF0E70E" w14:textId="4649AE0B" w:rsidR="00A60B12" w:rsidRDefault="00CF516F" w:rsidP="0028671A">
      <w:pPr>
        <w:sectPr w:rsidR="00A60B12" w:rsidSect="0028671A">
          <w:pgSz w:w="11906" w:h="16838"/>
          <w:pgMar w:top="568" w:right="566" w:bottom="709" w:left="709" w:header="284" w:footer="708" w:gutter="0"/>
          <w:cols w:space="708"/>
          <w:docGrid w:linePitch="360"/>
        </w:sectPr>
      </w:pPr>
      <w:r>
        <w:rPr>
          <w:noProof/>
          <w:lang w:eastAsia="en-GB"/>
        </w:rPr>
        <mc:AlternateContent>
          <mc:Choice Requires="wps">
            <w:drawing>
              <wp:anchor distT="0" distB="0" distL="114300" distR="114300" simplePos="0" relativeHeight="251660800" behindDoc="0" locked="0" layoutInCell="1" allowOverlap="1" wp14:anchorId="155D54C9" wp14:editId="153A0863">
                <wp:simplePos x="0" y="0"/>
                <wp:positionH relativeFrom="column">
                  <wp:posOffset>254635</wp:posOffset>
                </wp:positionH>
                <wp:positionV relativeFrom="paragraph">
                  <wp:posOffset>3771900</wp:posOffset>
                </wp:positionV>
                <wp:extent cx="6657975" cy="332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2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81A2" w14:textId="2584145D" w:rsidR="00106F5B" w:rsidRPr="00106F5B" w:rsidRDefault="00106F5B" w:rsidP="00355C2A">
                            <w:pPr>
                              <w:rPr>
                                <w:rFonts w:eastAsiaTheme="majorEastAsia" w:cstheme="majorBidi"/>
                                <w:bCs/>
                                <w:color w:val="1F497D" w:themeColor="text2"/>
                                <w:sz w:val="80"/>
                                <w:szCs w:val="80"/>
                              </w:rPr>
                            </w:pPr>
                            <w:r w:rsidRPr="00106F5B">
                              <w:rPr>
                                <w:rFonts w:eastAsiaTheme="majorEastAsia" w:cstheme="majorBidi"/>
                                <w:bCs/>
                                <w:color w:val="1F497D" w:themeColor="text2"/>
                                <w:sz w:val="80"/>
                                <w:szCs w:val="80"/>
                              </w:rPr>
                              <w:t xml:space="preserve">Proposed New </w:t>
                            </w:r>
                            <w:r w:rsidR="006B76E3">
                              <w:rPr>
                                <w:rFonts w:eastAsiaTheme="majorEastAsia" w:cstheme="majorBidi"/>
                                <w:bCs/>
                                <w:color w:val="1F497D" w:themeColor="text2"/>
                                <w:sz w:val="80"/>
                                <w:szCs w:val="80"/>
                              </w:rPr>
                              <w:t>ASD Designated</w:t>
                            </w:r>
                            <w:r w:rsidRPr="00106F5B">
                              <w:rPr>
                                <w:rFonts w:eastAsiaTheme="majorEastAsia" w:cstheme="majorBidi"/>
                                <w:bCs/>
                                <w:color w:val="1F497D" w:themeColor="text2"/>
                                <w:sz w:val="80"/>
                                <w:szCs w:val="80"/>
                              </w:rPr>
                              <w:t xml:space="preserve"> Special School for North West Surrey </w:t>
                            </w:r>
                          </w:p>
                          <w:p w14:paraId="3FCCD081" w14:textId="4DAFBC12" w:rsidR="00355C2A" w:rsidRDefault="00364947" w:rsidP="00355C2A">
                            <w:pPr>
                              <w:rPr>
                                <w:rFonts w:cs="Arial"/>
                                <w:b/>
                                <w:color w:val="1F497D" w:themeColor="text2"/>
                                <w:sz w:val="48"/>
                                <w:szCs w:val="48"/>
                              </w:rPr>
                            </w:pPr>
                            <w:r>
                              <w:rPr>
                                <w:rFonts w:cs="Arial"/>
                                <w:b/>
                                <w:color w:val="1F497D" w:themeColor="text2"/>
                                <w:sz w:val="48"/>
                                <w:szCs w:val="48"/>
                              </w:rPr>
                              <w:t>LA Consultation Analysis</w:t>
                            </w:r>
                          </w:p>
                          <w:p w14:paraId="69CEEBA2" w14:textId="5C558216" w:rsidR="00024C17" w:rsidRPr="00106F5B" w:rsidRDefault="006047AC" w:rsidP="00355C2A">
                            <w:pPr>
                              <w:rPr>
                                <w:rFonts w:cs="Arial"/>
                                <w:color w:val="1F497D" w:themeColor="text2"/>
                              </w:rPr>
                            </w:pPr>
                            <w:r>
                              <w:rPr>
                                <w:rFonts w:cs="Arial"/>
                                <w:b/>
                                <w:color w:val="1F497D" w:themeColor="text2"/>
                                <w:sz w:val="48"/>
                                <w:szCs w:val="48"/>
                              </w:rPr>
                              <w:t>January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D54C9" id="_x0000_t202" coordsize="21600,21600" o:spt="202" path="m,l,21600r21600,l21600,xe">
                <v:stroke joinstyle="miter"/>
                <v:path gradientshapeok="t" o:connecttype="rect"/>
              </v:shapetype>
              <v:shape id="Text Box 2" o:spid="_x0000_s1026" type="#_x0000_t202" style="position:absolute;margin-left:20.05pt;margin-top:297pt;width:524.2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" filled="f" stroked="f">
                <v:textbox>
                  <w:txbxContent>
                    <w:p w14:paraId="204881A2" w14:textId="2584145D" w:rsidR="00106F5B" w:rsidRPr="00106F5B" w:rsidRDefault="00106F5B" w:rsidP="00355C2A">
                      <w:pPr>
                        <w:rPr>
                          <w:rFonts w:eastAsiaTheme="majorEastAsia" w:cstheme="majorBidi"/>
                          <w:bCs/>
                          <w:color w:val="1F497D" w:themeColor="text2"/>
                          <w:sz w:val="80"/>
                          <w:szCs w:val="80"/>
                        </w:rPr>
                      </w:pPr>
                      <w:r w:rsidRPr="00106F5B">
                        <w:rPr>
                          <w:rFonts w:eastAsiaTheme="majorEastAsia" w:cstheme="majorBidi"/>
                          <w:bCs/>
                          <w:color w:val="1F497D" w:themeColor="text2"/>
                          <w:sz w:val="80"/>
                          <w:szCs w:val="80"/>
                        </w:rPr>
                        <w:t xml:space="preserve">Proposed New </w:t>
                      </w:r>
                      <w:r w:rsidR="006B76E3">
                        <w:rPr>
                          <w:rFonts w:eastAsiaTheme="majorEastAsia" w:cstheme="majorBidi"/>
                          <w:bCs/>
                          <w:color w:val="1F497D" w:themeColor="text2"/>
                          <w:sz w:val="80"/>
                          <w:szCs w:val="80"/>
                        </w:rPr>
                        <w:t>ASD Designated</w:t>
                      </w:r>
                      <w:r w:rsidRPr="00106F5B">
                        <w:rPr>
                          <w:rFonts w:eastAsiaTheme="majorEastAsia" w:cstheme="majorBidi"/>
                          <w:bCs/>
                          <w:color w:val="1F497D" w:themeColor="text2"/>
                          <w:sz w:val="80"/>
                          <w:szCs w:val="80"/>
                        </w:rPr>
                        <w:t xml:space="preserve"> Special School for North West Surrey </w:t>
                      </w:r>
                    </w:p>
                    <w:p w14:paraId="3FCCD081" w14:textId="4DAFBC12" w:rsidR="00355C2A" w:rsidRDefault="00364947" w:rsidP="00355C2A">
                      <w:pPr>
                        <w:rPr>
                          <w:rFonts w:cs="Arial"/>
                          <w:b/>
                          <w:color w:val="1F497D" w:themeColor="text2"/>
                          <w:sz w:val="48"/>
                          <w:szCs w:val="48"/>
                        </w:rPr>
                      </w:pPr>
                      <w:r>
                        <w:rPr>
                          <w:rFonts w:cs="Arial"/>
                          <w:b/>
                          <w:color w:val="1F497D" w:themeColor="text2"/>
                          <w:sz w:val="48"/>
                          <w:szCs w:val="48"/>
                        </w:rPr>
                        <w:t>LA Consultation Analysis</w:t>
                      </w:r>
                    </w:p>
                    <w:p w14:paraId="69CEEBA2" w14:textId="5C558216" w:rsidR="00024C17" w:rsidRPr="00106F5B" w:rsidRDefault="006047AC" w:rsidP="00355C2A">
                      <w:pPr>
                        <w:rPr>
                          <w:rFonts w:cs="Arial"/>
                          <w:color w:val="1F497D" w:themeColor="text2"/>
                        </w:rPr>
                      </w:pPr>
                      <w:r>
                        <w:rPr>
                          <w:rFonts w:cs="Arial"/>
                          <w:b/>
                          <w:color w:val="1F497D" w:themeColor="text2"/>
                          <w:sz w:val="48"/>
                          <w:szCs w:val="48"/>
                        </w:rPr>
                        <w:t>January 2022</w:t>
                      </w:r>
                    </w:p>
                  </w:txbxContent>
                </v:textbox>
              </v:shape>
            </w:pict>
          </mc:Fallback>
        </mc:AlternateContent>
      </w:r>
      <w:r w:rsidR="00041B45">
        <w:rPr>
          <w:noProof/>
          <w:lang w:eastAsia="en-GB"/>
        </w:rPr>
        <w:drawing>
          <wp:anchor distT="0" distB="0" distL="114300" distR="114300" simplePos="0" relativeHeight="251665920" behindDoc="0" locked="0" layoutInCell="1" allowOverlap="1" wp14:anchorId="2C4CFB67" wp14:editId="489476DD">
            <wp:simplePos x="0" y="0"/>
            <wp:positionH relativeFrom="column">
              <wp:posOffset>5558790</wp:posOffset>
            </wp:positionH>
            <wp:positionV relativeFrom="paragraph">
              <wp:posOffset>8588480</wp:posOffset>
            </wp:positionV>
            <wp:extent cx="1201058" cy="1082172"/>
            <wp:effectExtent l="0" t="0" r="0" b="3810"/>
            <wp:wrapNone/>
            <wp:docPr id="7" name="Picture 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 2019.2.png"/>
                    <pic:cNvPicPr/>
                  </pic:nvPicPr>
                  <pic:blipFill>
                    <a:blip r:embed="rId8"/>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p>
    <w:p w14:paraId="20B5B6AE" w14:textId="0CA74B64" w:rsidR="0028671A" w:rsidRPr="00CE2868" w:rsidRDefault="00106F5B" w:rsidP="00CE2868">
      <w:pPr>
        <w:pStyle w:val="Heading2"/>
      </w:pPr>
      <w:r>
        <w:lastRenderedPageBreak/>
        <w:t xml:space="preserve">Initial LA Consultation – </w:t>
      </w:r>
      <w:r w:rsidR="00364947">
        <w:t>Feedback Analysis</w:t>
      </w:r>
    </w:p>
    <w:p w14:paraId="25E7D85D" w14:textId="3C8BD6A1" w:rsidR="00DC5C3F" w:rsidRDefault="00106F5B" w:rsidP="00CE2868">
      <w:pPr>
        <w:pStyle w:val="Heading3"/>
      </w:pPr>
      <w:r>
        <w:t>Background</w:t>
      </w:r>
    </w:p>
    <w:p w14:paraId="2ED11B8A" w14:textId="77777777" w:rsidR="00211750" w:rsidRPr="00211750" w:rsidRDefault="00211750" w:rsidP="00211750"/>
    <w:p w14:paraId="2C9E8B6B" w14:textId="7819DAF1" w:rsidR="0028671A" w:rsidRDefault="00106F5B" w:rsidP="0028671A">
      <w:r w:rsidRPr="00043589">
        <w:t xml:space="preserve">SCC is proposing </w:t>
      </w:r>
      <w:r>
        <w:t>to establish new Special Free School provision in the West of the County to accommodate</w:t>
      </w:r>
      <w:r w:rsidR="00977F5C">
        <w:t xml:space="preserve"> autistic</w:t>
      </w:r>
      <w:r>
        <w:t xml:space="preserve"> boys and girls </w:t>
      </w:r>
      <w:r w:rsidR="00977F5C">
        <w:t xml:space="preserve">and those with communication and interaction needs </w:t>
      </w:r>
      <w:r>
        <w:t xml:space="preserve">aged 4 to </w:t>
      </w:r>
      <w:r w:rsidR="006B76E3">
        <w:t>19</w:t>
      </w:r>
      <w:r w:rsidRPr="00043589">
        <w:t>.</w:t>
      </w:r>
      <w:r>
        <w:t xml:space="preserve"> </w:t>
      </w:r>
      <w:r w:rsidR="00704552">
        <w:t>Admissions will be in line with Surrey’s SEND Admissions process (</w:t>
      </w:r>
      <w:hyperlink r:id="rId9" w:history="1">
        <w:r w:rsidR="00704552">
          <w:rPr>
            <w:rStyle w:val="Hyperlink"/>
          </w:rPr>
          <w:t>Choosing a school place for a child with an EHCP - Surrey County Council (surreycc.gov.uk)</w:t>
        </w:r>
      </w:hyperlink>
      <w:r w:rsidR="00704552">
        <w:t>).</w:t>
      </w:r>
      <w:r>
        <w:t xml:space="preserve"> It is envisaged that the new school would provide 176 to 200 places at full capacity. The initial local authority consultation – the first step in the process of opening a new school – ran from 1</w:t>
      </w:r>
      <w:r w:rsidR="00B01B81">
        <w:t>5</w:t>
      </w:r>
      <w:r>
        <w:t xml:space="preserve"> November 2021 to 1</w:t>
      </w:r>
      <w:r w:rsidR="00B01B81">
        <w:t>7</w:t>
      </w:r>
      <w:r>
        <w:t xml:space="preserve"> December 2021</w:t>
      </w:r>
      <w:r w:rsidR="00B01B81">
        <w:t xml:space="preserve">: this document </w:t>
      </w:r>
      <w:r w:rsidR="006B76E3">
        <w:t xml:space="preserve">provides analysis </w:t>
      </w:r>
      <w:r w:rsidR="00364947">
        <w:t xml:space="preserve">the </w:t>
      </w:r>
      <w:r w:rsidR="00E94A0B">
        <w:t xml:space="preserve">209 </w:t>
      </w:r>
      <w:r w:rsidR="00364947">
        <w:t>responses received</w:t>
      </w:r>
      <w:r w:rsidR="00B01B81">
        <w:t>.</w:t>
      </w:r>
    </w:p>
    <w:p w14:paraId="5FC53095" w14:textId="77777777" w:rsidR="00B01B81" w:rsidRDefault="00B01B81" w:rsidP="0028671A"/>
    <w:p w14:paraId="5957428A" w14:textId="3D3CA4D9" w:rsidR="0028671A" w:rsidRDefault="00E94A0B" w:rsidP="00364947">
      <w:pPr>
        <w:pStyle w:val="Heading3"/>
      </w:pPr>
      <w:r>
        <w:t>Respondents</w:t>
      </w:r>
    </w:p>
    <w:p w14:paraId="0E857C69" w14:textId="32027C4C" w:rsidR="00B01B81" w:rsidRDefault="00B01B81" w:rsidP="00B01B81"/>
    <w:p w14:paraId="17F4A3EA" w14:textId="18055CC2" w:rsidR="00B01B81" w:rsidRDefault="00E94A0B" w:rsidP="00B01B81">
      <w:r>
        <w:t>The majority of the responses came from parents as shown in the table and chart below:</w:t>
      </w:r>
    </w:p>
    <w:p w14:paraId="20C44117" w14:textId="2401D531" w:rsidR="00E94A0B" w:rsidRDefault="00E94A0B" w:rsidP="00B01B81"/>
    <w:tbl>
      <w:tblPr>
        <w:tblStyle w:val="TableGrid"/>
        <w:tblW w:w="10627" w:type="dxa"/>
        <w:tblLook w:val="04A0" w:firstRow="1" w:lastRow="0" w:firstColumn="1" w:lastColumn="0" w:noHBand="0" w:noVBand="1"/>
      </w:tblPr>
      <w:tblGrid>
        <w:gridCol w:w="5313"/>
        <w:gridCol w:w="5314"/>
      </w:tblGrid>
      <w:tr w:rsidR="00E94A0B" w14:paraId="7BE1BA8B" w14:textId="77777777" w:rsidTr="00E94A0B">
        <w:tc>
          <w:tcPr>
            <w:tcW w:w="5313" w:type="dxa"/>
            <w:shd w:val="clear" w:color="auto" w:fill="DBE5F1" w:themeFill="accent1" w:themeFillTint="33"/>
          </w:tcPr>
          <w:p w14:paraId="483105E0" w14:textId="77777777" w:rsidR="00E94A0B" w:rsidRPr="00E94A0B" w:rsidRDefault="00E94A0B" w:rsidP="0035288B">
            <w:pPr>
              <w:jc w:val="center"/>
              <w:rPr>
                <w:rFonts w:cs="Arial"/>
                <w:b/>
                <w:bCs/>
              </w:rPr>
            </w:pPr>
            <w:r w:rsidRPr="00E94A0B">
              <w:rPr>
                <w:rFonts w:cs="Arial"/>
                <w:b/>
                <w:bCs/>
              </w:rPr>
              <w:t>Category</w:t>
            </w:r>
          </w:p>
        </w:tc>
        <w:tc>
          <w:tcPr>
            <w:tcW w:w="5314" w:type="dxa"/>
            <w:shd w:val="clear" w:color="auto" w:fill="DBE5F1" w:themeFill="accent1" w:themeFillTint="33"/>
          </w:tcPr>
          <w:p w14:paraId="1BBB4F66" w14:textId="77777777" w:rsidR="00E94A0B" w:rsidRPr="00E94A0B" w:rsidRDefault="00E94A0B" w:rsidP="0035288B">
            <w:pPr>
              <w:jc w:val="center"/>
              <w:rPr>
                <w:rFonts w:cs="Arial"/>
                <w:b/>
                <w:bCs/>
              </w:rPr>
            </w:pPr>
            <w:r w:rsidRPr="00E94A0B">
              <w:rPr>
                <w:rFonts w:cs="Arial"/>
                <w:b/>
                <w:bCs/>
              </w:rPr>
              <w:t>Response %</w:t>
            </w:r>
          </w:p>
        </w:tc>
      </w:tr>
      <w:tr w:rsidR="00E94A0B" w14:paraId="04A4D6F0" w14:textId="77777777" w:rsidTr="00E94A0B">
        <w:tc>
          <w:tcPr>
            <w:tcW w:w="5313" w:type="dxa"/>
            <w:vAlign w:val="bottom"/>
          </w:tcPr>
          <w:p w14:paraId="1DBE5312" w14:textId="77777777" w:rsidR="00E94A0B" w:rsidRPr="00E94A0B" w:rsidRDefault="00E94A0B" w:rsidP="0035288B">
            <w:pPr>
              <w:rPr>
                <w:rFonts w:cs="Arial"/>
              </w:rPr>
            </w:pPr>
            <w:r w:rsidRPr="00E94A0B">
              <w:rPr>
                <w:rFonts w:cs="Arial"/>
              </w:rPr>
              <w:t>Parents</w:t>
            </w:r>
          </w:p>
        </w:tc>
        <w:tc>
          <w:tcPr>
            <w:tcW w:w="5314" w:type="dxa"/>
            <w:vAlign w:val="bottom"/>
          </w:tcPr>
          <w:p w14:paraId="298594A9" w14:textId="77777777" w:rsidR="00E94A0B" w:rsidRPr="00E94A0B" w:rsidRDefault="00E94A0B" w:rsidP="0035288B">
            <w:pPr>
              <w:jc w:val="center"/>
              <w:rPr>
                <w:rFonts w:cs="Arial"/>
              </w:rPr>
            </w:pPr>
            <w:r w:rsidRPr="00E94A0B">
              <w:rPr>
                <w:rFonts w:cs="Arial"/>
              </w:rPr>
              <w:t>65%</w:t>
            </w:r>
          </w:p>
        </w:tc>
      </w:tr>
      <w:tr w:rsidR="00E94A0B" w14:paraId="68AEDA99" w14:textId="77777777" w:rsidTr="00E94A0B">
        <w:tc>
          <w:tcPr>
            <w:tcW w:w="5313" w:type="dxa"/>
            <w:vAlign w:val="bottom"/>
          </w:tcPr>
          <w:p w14:paraId="42D669DD" w14:textId="77777777" w:rsidR="00E94A0B" w:rsidRPr="00E94A0B" w:rsidRDefault="00E94A0B" w:rsidP="0035288B">
            <w:pPr>
              <w:rPr>
                <w:rFonts w:cs="Arial"/>
              </w:rPr>
            </w:pPr>
            <w:r w:rsidRPr="00E94A0B">
              <w:rPr>
                <w:rFonts w:cs="Arial"/>
              </w:rPr>
              <w:t>Education Professionals</w:t>
            </w:r>
          </w:p>
        </w:tc>
        <w:tc>
          <w:tcPr>
            <w:tcW w:w="5314" w:type="dxa"/>
            <w:vAlign w:val="bottom"/>
          </w:tcPr>
          <w:p w14:paraId="36A8115D" w14:textId="77777777" w:rsidR="00E94A0B" w:rsidRPr="00E94A0B" w:rsidRDefault="00E94A0B" w:rsidP="0035288B">
            <w:pPr>
              <w:jc w:val="center"/>
              <w:rPr>
                <w:rFonts w:cs="Arial"/>
              </w:rPr>
            </w:pPr>
            <w:r w:rsidRPr="00E94A0B">
              <w:rPr>
                <w:rFonts w:cs="Arial"/>
              </w:rPr>
              <w:t>17%</w:t>
            </w:r>
          </w:p>
        </w:tc>
      </w:tr>
      <w:tr w:rsidR="00E94A0B" w14:paraId="06A7E0E5" w14:textId="77777777" w:rsidTr="00E94A0B">
        <w:tc>
          <w:tcPr>
            <w:tcW w:w="5313" w:type="dxa"/>
            <w:vAlign w:val="bottom"/>
          </w:tcPr>
          <w:p w14:paraId="17051A2B" w14:textId="77777777" w:rsidR="00E94A0B" w:rsidRPr="00E94A0B" w:rsidRDefault="00E94A0B" w:rsidP="0035288B">
            <w:pPr>
              <w:rPr>
                <w:rFonts w:cs="Arial"/>
              </w:rPr>
            </w:pPr>
            <w:r w:rsidRPr="00E94A0B">
              <w:rPr>
                <w:rFonts w:cs="Arial"/>
              </w:rPr>
              <w:t>Residents</w:t>
            </w:r>
          </w:p>
        </w:tc>
        <w:tc>
          <w:tcPr>
            <w:tcW w:w="5314" w:type="dxa"/>
            <w:vAlign w:val="bottom"/>
          </w:tcPr>
          <w:p w14:paraId="39C99D64" w14:textId="77777777" w:rsidR="00E94A0B" w:rsidRPr="00E94A0B" w:rsidRDefault="00E94A0B" w:rsidP="0035288B">
            <w:pPr>
              <w:jc w:val="center"/>
              <w:rPr>
                <w:rFonts w:cs="Arial"/>
              </w:rPr>
            </w:pPr>
            <w:r w:rsidRPr="00E94A0B">
              <w:rPr>
                <w:rFonts w:cs="Arial"/>
              </w:rPr>
              <w:t>7%</w:t>
            </w:r>
          </w:p>
        </w:tc>
      </w:tr>
      <w:tr w:rsidR="00E94A0B" w14:paraId="5E1A641A" w14:textId="77777777" w:rsidTr="00E94A0B">
        <w:tc>
          <w:tcPr>
            <w:tcW w:w="5313" w:type="dxa"/>
            <w:vAlign w:val="bottom"/>
          </w:tcPr>
          <w:p w14:paraId="716B6351" w14:textId="77777777" w:rsidR="00E94A0B" w:rsidRPr="00E94A0B" w:rsidRDefault="00E94A0B" w:rsidP="0035288B">
            <w:pPr>
              <w:rPr>
                <w:rFonts w:cs="Arial"/>
              </w:rPr>
            </w:pPr>
            <w:r w:rsidRPr="00E94A0B">
              <w:rPr>
                <w:rFonts w:cs="Arial"/>
              </w:rPr>
              <w:t>Other Family Members</w:t>
            </w:r>
          </w:p>
        </w:tc>
        <w:tc>
          <w:tcPr>
            <w:tcW w:w="5314" w:type="dxa"/>
            <w:vAlign w:val="bottom"/>
          </w:tcPr>
          <w:p w14:paraId="3FCE081F" w14:textId="77777777" w:rsidR="00E94A0B" w:rsidRPr="00E94A0B" w:rsidRDefault="00E94A0B" w:rsidP="0035288B">
            <w:pPr>
              <w:jc w:val="center"/>
              <w:rPr>
                <w:rFonts w:cs="Arial"/>
              </w:rPr>
            </w:pPr>
            <w:r w:rsidRPr="00E94A0B">
              <w:rPr>
                <w:rFonts w:cs="Arial"/>
              </w:rPr>
              <w:t>4%</w:t>
            </w:r>
          </w:p>
        </w:tc>
      </w:tr>
      <w:tr w:rsidR="00E94A0B" w14:paraId="7BBF06FE" w14:textId="77777777" w:rsidTr="00E94A0B">
        <w:tc>
          <w:tcPr>
            <w:tcW w:w="5313" w:type="dxa"/>
            <w:vAlign w:val="bottom"/>
          </w:tcPr>
          <w:p w14:paraId="357F274B" w14:textId="77777777" w:rsidR="00E94A0B" w:rsidRPr="00E94A0B" w:rsidRDefault="00E94A0B" w:rsidP="0035288B">
            <w:pPr>
              <w:rPr>
                <w:rFonts w:cs="Arial"/>
              </w:rPr>
            </w:pPr>
            <w:r w:rsidRPr="00E94A0B">
              <w:rPr>
                <w:rFonts w:cs="Arial"/>
              </w:rPr>
              <w:t>Other</w:t>
            </w:r>
          </w:p>
        </w:tc>
        <w:tc>
          <w:tcPr>
            <w:tcW w:w="5314" w:type="dxa"/>
            <w:vAlign w:val="bottom"/>
          </w:tcPr>
          <w:p w14:paraId="6A1326A9" w14:textId="77777777" w:rsidR="00E94A0B" w:rsidRPr="00E94A0B" w:rsidRDefault="00E94A0B" w:rsidP="0035288B">
            <w:pPr>
              <w:jc w:val="center"/>
              <w:rPr>
                <w:rFonts w:cs="Arial"/>
              </w:rPr>
            </w:pPr>
            <w:r w:rsidRPr="00E94A0B">
              <w:rPr>
                <w:rFonts w:cs="Arial"/>
              </w:rPr>
              <w:t>7%</w:t>
            </w:r>
          </w:p>
        </w:tc>
      </w:tr>
    </w:tbl>
    <w:p w14:paraId="755C775D" w14:textId="19D8DB62" w:rsidR="00E94A0B" w:rsidRDefault="00E94A0B" w:rsidP="00B01B81"/>
    <w:p w14:paraId="2F64F2FA" w14:textId="6B2E1574" w:rsidR="00E94A0B" w:rsidRDefault="00E94A0B" w:rsidP="00B01B81">
      <w:r>
        <w:rPr>
          <w:noProof/>
        </w:rPr>
        <w:drawing>
          <wp:inline distT="0" distB="0" distL="0" distR="0" wp14:anchorId="61F9E465" wp14:editId="1FFE39BD">
            <wp:extent cx="672465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A23002" w14:textId="6B18A5EC" w:rsidR="00561E43" w:rsidRDefault="00561E43" w:rsidP="00B01B81"/>
    <w:p w14:paraId="6CD5DA79" w14:textId="56A9035A" w:rsidR="00561E43" w:rsidRDefault="00C37913" w:rsidP="00E94A0B">
      <w:pPr>
        <w:pStyle w:val="Heading3"/>
      </w:pPr>
      <w:r>
        <w:t>Breakdown of Residence of Respondents</w:t>
      </w:r>
    </w:p>
    <w:p w14:paraId="632B5701" w14:textId="77777777" w:rsidR="00561E43" w:rsidRDefault="00561E43" w:rsidP="00561E43"/>
    <w:p w14:paraId="10B5B5BB" w14:textId="19AE12D9" w:rsidR="00561E43" w:rsidRDefault="00C37913" w:rsidP="00561E43">
      <w:r w:rsidRPr="00C37913">
        <w:t xml:space="preserve">The consultation </w:t>
      </w:r>
      <w:r w:rsidR="006B76E3">
        <w:t xml:space="preserve">proposed the establishment of </w:t>
      </w:r>
      <w:r w:rsidRPr="00C37913">
        <w:t>a new</w:t>
      </w:r>
      <w:r w:rsidR="006B76E3">
        <w:t xml:space="preserve"> S</w:t>
      </w:r>
      <w:r w:rsidRPr="00C37913">
        <w:t>pecia</w:t>
      </w:r>
      <w:r w:rsidR="006B76E3">
        <w:t>l</w:t>
      </w:r>
      <w:r w:rsidRPr="00C37913">
        <w:t xml:space="preserve"> Free School in the West of the </w:t>
      </w:r>
      <w:proofErr w:type="gramStart"/>
      <w:r w:rsidRPr="00C37913">
        <w:t>County</w:t>
      </w:r>
      <w:proofErr w:type="gramEnd"/>
      <w:r w:rsidRPr="00C37913">
        <w:t xml:space="preserve"> so it is perhaps no surprise that the majority of the responses came from people living in districts to the West. The highest proportion of responses came from Surrey Heath in the North West. A breakdown by district and quadrant is shown </w:t>
      </w:r>
      <w:r w:rsidR="006B76E3">
        <w:t>in Table 1</w:t>
      </w:r>
      <w:r w:rsidRPr="00C37913">
        <w:t>:</w:t>
      </w:r>
    </w:p>
    <w:p w14:paraId="4AA3C6D9" w14:textId="081057EA" w:rsidR="00C37913" w:rsidRDefault="00C37913" w:rsidP="00561E43"/>
    <w:p w14:paraId="760960C1" w14:textId="60D1C785" w:rsidR="00C37913" w:rsidRDefault="00C37913" w:rsidP="00561E43"/>
    <w:p w14:paraId="6AE01972" w14:textId="0B93C226" w:rsidR="00C37913" w:rsidRDefault="00C37913" w:rsidP="00561E43"/>
    <w:p w14:paraId="3E8BD46B" w14:textId="1560D195" w:rsidR="006B76E3" w:rsidRDefault="006B76E3" w:rsidP="00561E43"/>
    <w:p w14:paraId="3E550A42" w14:textId="5675AEC1" w:rsidR="006B76E3" w:rsidRDefault="006B76E3" w:rsidP="00561E43">
      <w:r>
        <w:t xml:space="preserve">Table 1: Resident District &amp; Borough of responders to LA Consultation </w:t>
      </w:r>
    </w:p>
    <w:p w14:paraId="4C246DEA" w14:textId="2C997ED4" w:rsidR="00C37913" w:rsidRDefault="00C37913" w:rsidP="00561E43"/>
    <w:tbl>
      <w:tblPr>
        <w:tblStyle w:val="TableGrid"/>
        <w:tblW w:w="0" w:type="auto"/>
        <w:tblLook w:val="04A0" w:firstRow="1" w:lastRow="0" w:firstColumn="1" w:lastColumn="0" w:noHBand="0" w:noVBand="1"/>
      </w:tblPr>
      <w:tblGrid>
        <w:gridCol w:w="3495"/>
        <w:gridCol w:w="3495"/>
        <w:gridCol w:w="3495"/>
      </w:tblGrid>
      <w:tr w:rsidR="00C37913" w14:paraId="5031129D" w14:textId="77777777" w:rsidTr="00C37913">
        <w:tc>
          <w:tcPr>
            <w:tcW w:w="3495" w:type="dxa"/>
            <w:shd w:val="clear" w:color="auto" w:fill="DBE5F1" w:themeFill="accent1" w:themeFillTint="33"/>
            <w:vAlign w:val="bottom"/>
          </w:tcPr>
          <w:p w14:paraId="289B9B1F" w14:textId="77777777" w:rsidR="00C37913" w:rsidRPr="00C37913" w:rsidRDefault="00C37913" w:rsidP="0035288B">
            <w:pPr>
              <w:jc w:val="center"/>
              <w:rPr>
                <w:rFonts w:cs="Arial"/>
                <w:b/>
                <w:bCs/>
              </w:rPr>
            </w:pPr>
            <w:r w:rsidRPr="00C37913">
              <w:rPr>
                <w:rFonts w:cs="Arial"/>
                <w:b/>
                <w:bCs/>
              </w:rPr>
              <w:t>District</w:t>
            </w:r>
          </w:p>
        </w:tc>
        <w:tc>
          <w:tcPr>
            <w:tcW w:w="3495" w:type="dxa"/>
            <w:shd w:val="clear" w:color="auto" w:fill="DBE5F1" w:themeFill="accent1" w:themeFillTint="33"/>
            <w:vAlign w:val="bottom"/>
          </w:tcPr>
          <w:p w14:paraId="749AB333" w14:textId="77777777" w:rsidR="00C37913" w:rsidRPr="00C37913" w:rsidRDefault="00C37913" w:rsidP="0035288B">
            <w:pPr>
              <w:jc w:val="center"/>
              <w:rPr>
                <w:rFonts w:cs="Arial"/>
                <w:b/>
                <w:bCs/>
              </w:rPr>
            </w:pPr>
            <w:r w:rsidRPr="00C37913">
              <w:rPr>
                <w:rFonts w:cs="Arial"/>
                <w:b/>
                <w:bCs/>
              </w:rPr>
              <w:t>Responses</w:t>
            </w:r>
          </w:p>
        </w:tc>
        <w:tc>
          <w:tcPr>
            <w:tcW w:w="3495" w:type="dxa"/>
            <w:shd w:val="clear" w:color="auto" w:fill="DBE5F1" w:themeFill="accent1" w:themeFillTint="33"/>
            <w:vAlign w:val="bottom"/>
          </w:tcPr>
          <w:p w14:paraId="6DD99B8B" w14:textId="77777777" w:rsidR="00C37913" w:rsidRPr="00C37913" w:rsidRDefault="00C37913" w:rsidP="0035288B">
            <w:pPr>
              <w:jc w:val="center"/>
              <w:rPr>
                <w:rFonts w:cs="Arial"/>
                <w:b/>
                <w:bCs/>
              </w:rPr>
            </w:pPr>
            <w:r w:rsidRPr="00C37913">
              <w:rPr>
                <w:rFonts w:cs="Arial"/>
                <w:b/>
                <w:bCs/>
              </w:rPr>
              <w:t>Response %</w:t>
            </w:r>
          </w:p>
        </w:tc>
      </w:tr>
      <w:tr w:rsidR="00C37913" w14:paraId="11BBF8FC" w14:textId="77777777" w:rsidTr="00C37913">
        <w:tc>
          <w:tcPr>
            <w:tcW w:w="3495" w:type="dxa"/>
            <w:vAlign w:val="bottom"/>
          </w:tcPr>
          <w:p w14:paraId="05A3F944" w14:textId="77777777" w:rsidR="00C37913" w:rsidRPr="00C37913" w:rsidRDefault="00C37913" w:rsidP="0035288B">
            <w:pPr>
              <w:rPr>
                <w:rFonts w:cs="Arial"/>
              </w:rPr>
            </w:pPr>
            <w:r w:rsidRPr="00C37913">
              <w:rPr>
                <w:rFonts w:cs="Arial"/>
              </w:rPr>
              <w:t>Elmbridge</w:t>
            </w:r>
          </w:p>
        </w:tc>
        <w:tc>
          <w:tcPr>
            <w:tcW w:w="3495" w:type="dxa"/>
            <w:vAlign w:val="center"/>
          </w:tcPr>
          <w:p w14:paraId="7E9E4C36" w14:textId="77777777" w:rsidR="00C37913" w:rsidRPr="00C37913" w:rsidRDefault="00C37913" w:rsidP="0035288B">
            <w:pPr>
              <w:jc w:val="center"/>
              <w:rPr>
                <w:rFonts w:cs="Arial"/>
              </w:rPr>
            </w:pPr>
            <w:r w:rsidRPr="00C37913">
              <w:rPr>
                <w:rFonts w:cs="Arial"/>
              </w:rPr>
              <w:t>7</w:t>
            </w:r>
          </w:p>
        </w:tc>
        <w:tc>
          <w:tcPr>
            <w:tcW w:w="3495" w:type="dxa"/>
            <w:vAlign w:val="center"/>
          </w:tcPr>
          <w:p w14:paraId="19DEC1C2" w14:textId="77777777" w:rsidR="00C37913" w:rsidRPr="00C37913" w:rsidRDefault="00C37913" w:rsidP="0035288B">
            <w:pPr>
              <w:jc w:val="center"/>
              <w:rPr>
                <w:rFonts w:cs="Arial"/>
              </w:rPr>
            </w:pPr>
            <w:r w:rsidRPr="00C37913">
              <w:rPr>
                <w:rFonts w:cs="Arial"/>
              </w:rPr>
              <w:t>3%</w:t>
            </w:r>
          </w:p>
        </w:tc>
      </w:tr>
      <w:tr w:rsidR="00C37913" w14:paraId="0842FA43" w14:textId="77777777" w:rsidTr="00C37913">
        <w:tc>
          <w:tcPr>
            <w:tcW w:w="3495" w:type="dxa"/>
            <w:vAlign w:val="bottom"/>
          </w:tcPr>
          <w:p w14:paraId="734B964A" w14:textId="77777777" w:rsidR="00C37913" w:rsidRPr="00C37913" w:rsidRDefault="00C37913" w:rsidP="0035288B">
            <w:pPr>
              <w:rPr>
                <w:rFonts w:cs="Arial"/>
              </w:rPr>
            </w:pPr>
            <w:r w:rsidRPr="00C37913">
              <w:rPr>
                <w:rFonts w:cs="Arial"/>
              </w:rPr>
              <w:t>Epsom and Ewell</w:t>
            </w:r>
          </w:p>
        </w:tc>
        <w:tc>
          <w:tcPr>
            <w:tcW w:w="3495" w:type="dxa"/>
            <w:vAlign w:val="center"/>
          </w:tcPr>
          <w:p w14:paraId="35D17E4F" w14:textId="77777777" w:rsidR="00C37913" w:rsidRPr="00C37913" w:rsidRDefault="00C37913" w:rsidP="0035288B">
            <w:pPr>
              <w:jc w:val="center"/>
              <w:rPr>
                <w:rFonts w:cs="Arial"/>
              </w:rPr>
            </w:pPr>
            <w:r w:rsidRPr="00C37913">
              <w:rPr>
                <w:rFonts w:cs="Arial"/>
              </w:rPr>
              <w:t>5</w:t>
            </w:r>
          </w:p>
        </w:tc>
        <w:tc>
          <w:tcPr>
            <w:tcW w:w="3495" w:type="dxa"/>
            <w:vAlign w:val="center"/>
          </w:tcPr>
          <w:p w14:paraId="40E7660E" w14:textId="77777777" w:rsidR="00C37913" w:rsidRPr="00C37913" w:rsidRDefault="00C37913" w:rsidP="0035288B">
            <w:pPr>
              <w:jc w:val="center"/>
              <w:rPr>
                <w:rFonts w:cs="Arial"/>
              </w:rPr>
            </w:pPr>
            <w:r w:rsidRPr="00C37913">
              <w:rPr>
                <w:rFonts w:cs="Arial"/>
              </w:rPr>
              <w:t>2%</w:t>
            </w:r>
          </w:p>
        </w:tc>
      </w:tr>
      <w:tr w:rsidR="00C37913" w14:paraId="529C8B58" w14:textId="77777777" w:rsidTr="00C37913">
        <w:tc>
          <w:tcPr>
            <w:tcW w:w="3495" w:type="dxa"/>
            <w:vAlign w:val="bottom"/>
          </w:tcPr>
          <w:p w14:paraId="0C878148" w14:textId="77777777" w:rsidR="00C37913" w:rsidRPr="00C37913" w:rsidRDefault="00C37913" w:rsidP="0035288B">
            <w:pPr>
              <w:rPr>
                <w:rFonts w:cs="Arial"/>
              </w:rPr>
            </w:pPr>
            <w:r w:rsidRPr="00C37913">
              <w:rPr>
                <w:rFonts w:cs="Arial"/>
              </w:rPr>
              <w:t>Guildford</w:t>
            </w:r>
          </w:p>
        </w:tc>
        <w:tc>
          <w:tcPr>
            <w:tcW w:w="3495" w:type="dxa"/>
            <w:vAlign w:val="center"/>
          </w:tcPr>
          <w:p w14:paraId="45776FB0" w14:textId="77777777" w:rsidR="00C37913" w:rsidRPr="00C37913" w:rsidRDefault="00C37913" w:rsidP="0035288B">
            <w:pPr>
              <w:jc w:val="center"/>
              <w:rPr>
                <w:rFonts w:cs="Arial"/>
              </w:rPr>
            </w:pPr>
            <w:r w:rsidRPr="00C37913">
              <w:rPr>
                <w:rFonts w:cs="Arial"/>
              </w:rPr>
              <w:t>19</w:t>
            </w:r>
          </w:p>
        </w:tc>
        <w:tc>
          <w:tcPr>
            <w:tcW w:w="3495" w:type="dxa"/>
            <w:vAlign w:val="center"/>
          </w:tcPr>
          <w:p w14:paraId="12048630" w14:textId="77777777" w:rsidR="00C37913" w:rsidRPr="00C37913" w:rsidRDefault="00C37913" w:rsidP="0035288B">
            <w:pPr>
              <w:jc w:val="center"/>
              <w:rPr>
                <w:rFonts w:cs="Arial"/>
              </w:rPr>
            </w:pPr>
            <w:r w:rsidRPr="00C37913">
              <w:rPr>
                <w:rFonts w:cs="Arial"/>
              </w:rPr>
              <w:t>9%</w:t>
            </w:r>
          </w:p>
        </w:tc>
      </w:tr>
      <w:tr w:rsidR="00C37913" w14:paraId="360F6D8B" w14:textId="77777777" w:rsidTr="00C37913">
        <w:tc>
          <w:tcPr>
            <w:tcW w:w="3495" w:type="dxa"/>
            <w:vAlign w:val="bottom"/>
          </w:tcPr>
          <w:p w14:paraId="5A9A99BE" w14:textId="77777777" w:rsidR="00C37913" w:rsidRPr="00C37913" w:rsidRDefault="00C37913" w:rsidP="0035288B">
            <w:pPr>
              <w:rPr>
                <w:rFonts w:cs="Arial"/>
              </w:rPr>
            </w:pPr>
            <w:r w:rsidRPr="00C37913">
              <w:rPr>
                <w:rFonts w:cs="Arial"/>
              </w:rPr>
              <w:t>Mole Valley</w:t>
            </w:r>
          </w:p>
        </w:tc>
        <w:tc>
          <w:tcPr>
            <w:tcW w:w="3495" w:type="dxa"/>
            <w:vAlign w:val="center"/>
          </w:tcPr>
          <w:p w14:paraId="7808E1A4" w14:textId="77777777" w:rsidR="00C37913" w:rsidRPr="00C37913" w:rsidRDefault="00C37913" w:rsidP="0035288B">
            <w:pPr>
              <w:jc w:val="center"/>
              <w:rPr>
                <w:rFonts w:cs="Arial"/>
              </w:rPr>
            </w:pPr>
            <w:r w:rsidRPr="00C37913">
              <w:rPr>
                <w:rFonts w:cs="Arial"/>
              </w:rPr>
              <w:t>21</w:t>
            </w:r>
          </w:p>
        </w:tc>
        <w:tc>
          <w:tcPr>
            <w:tcW w:w="3495" w:type="dxa"/>
            <w:vAlign w:val="center"/>
          </w:tcPr>
          <w:p w14:paraId="07C545B2" w14:textId="77777777" w:rsidR="00C37913" w:rsidRPr="00C37913" w:rsidRDefault="00C37913" w:rsidP="0035288B">
            <w:pPr>
              <w:jc w:val="center"/>
              <w:rPr>
                <w:rFonts w:cs="Arial"/>
              </w:rPr>
            </w:pPr>
            <w:r w:rsidRPr="00C37913">
              <w:rPr>
                <w:rFonts w:cs="Arial"/>
              </w:rPr>
              <w:t>10%</w:t>
            </w:r>
          </w:p>
        </w:tc>
      </w:tr>
      <w:tr w:rsidR="00C37913" w14:paraId="51CCC760" w14:textId="77777777" w:rsidTr="00C37913">
        <w:tc>
          <w:tcPr>
            <w:tcW w:w="3495" w:type="dxa"/>
            <w:vAlign w:val="bottom"/>
          </w:tcPr>
          <w:p w14:paraId="08EA49F6" w14:textId="77777777" w:rsidR="00C37913" w:rsidRPr="00C37913" w:rsidRDefault="00C37913" w:rsidP="0035288B">
            <w:pPr>
              <w:rPr>
                <w:rFonts w:cs="Arial"/>
              </w:rPr>
            </w:pPr>
            <w:r w:rsidRPr="00C37913">
              <w:rPr>
                <w:rFonts w:cs="Arial"/>
              </w:rPr>
              <w:t>Reigate and Banstead</w:t>
            </w:r>
          </w:p>
        </w:tc>
        <w:tc>
          <w:tcPr>
            <w:tcW w:w="3495" w:type="dxa"/>
            <w:vAlign w:val="center"/>
          </w:tcPr>
          <w:p w14:paraId="1F241B64" w14:textId="77777777" w:rsidR="00C37913" w:rsidRPr="00C37913" w:rsidRDefault="00C37913" w:rsidP="0035288B">
            <w:pPr>
              <w:jc w:val="center"/>
              <w:rPr>
                <w:rFonts w:cs="Arial"/>
              </w:rPr>
            </w:pPr>
            <w:r w:rsidRPr="00C37913">
              <w:rPr>
                <w:rFonts w:cs="Arial"/>
              </w:rPr>
              <w:t>11</w:t>
            </w:r>
          </w:p>
        </w:tc>
        <w:tc>
          <w:tcPr>
            <w:tcW w:w="3495" w:type="dxa"/>
            <w:vAlign w:val="center"/>
          </w:tcPr>
          <w:p w14:paraId="473B8792" w14:textId="77777777" w:rsidR="00C37913" w:rsidRPr="00C37913" w:rsidRDefault="00C37913" w:rsidP="0035288B">
            <w:pPr>
              <w:jc w:val="center"/>
              <w:rPr>
                <w:rFonts w:cs="Arial"/>
              </w:rPr>
            </w:pPr>
            <w:r w:rsidRPr="00C37913">
              <w:rPr>
                <w:rFonts w:cs="Arial"/>
              </w:rPr>
              <w:t>5%</w:t>
            </w:r>
          </w:p>
        </w:tc>
      </w:tr>
      <w:tr w:rsidR="00C37913" w14:paraId="155035C6" w14:textId="77777777" w:rsidTr="00C37913">
        <w:tc>
          <w:tcPr>
            <w:tcW w:w="3495" w:type="dxa"/>
            <w:vAlign w:val="bottom"/>
          </w:tcPr>
          <w:p w14:paraId="380997D3" w14:textId="77777777" w:rsidR="00C37913" w:rsidRPr="00C37913" w:rsidRDefault="00C37913" w:rsidP="0035288B">
            <w:pPr>
              <w:rPr>
                <w:rFonts w:cs="Arial"/>
              </w:rPr>
            </w:pPr>
            <w:r w:rsidRPr="00C37913">
              <w:rPr>
                <w:rFonts w:cs="Arial"/>
              </w:rPr>
              <w:t>Runnymede</w:t>
            </w:r>
          </w:p>
        </w:tc>
        <w:tc>
          <w:tcPr>
            <w:tcW w:w="3495" w:type="dxa"/>
            <w:vAlign w:val="center"/>
          </w:tcPr>
          <w:p w14:paraId="63124D58" w14:textId="77777777" w:rsidR="00C37913" w:rsidRPr="00C37913" w:rsidRDefault="00C37913" w:rsidP="0035288B">
            <w:pPr>
              <w:jc w:val="center"/>
              <w:rPr>
                <w:rFonts w:cs="Arial"/>
              </w:rPr>
            </w:pPr>
            <w:r w:rsidRPr="00C37913">
              <w:rPr>
                <w:rFonts w:cs="Arial"/>
              </w:rPr>
              <w:t>8</w:t>
            </w:r>
          </w:p>
        </w:tc>
        <w:tc>
          <w:tcPr>
            <w:tcW w:w="3495" w:type="dxa"/>
            <w:vAlign w:val="center"/>
          </w:tcPr>
          <w:p w14:paraId="502E250D" w14:textId="77777777" w:rsidR="00C37913" w:rsidRPr="00C37913" w:rsidRDefault="00C37913" w:rsidP="0035288B">
            <w:pPr>
              <w:jc w:val="center"/>
              <w:rPr>
                <w:rFonts w:cs="Arial"/>
              </w:rPr>
            </w:pPr>
            <w:r w:rsidRPr="00C37913">
              <w:rPr>
                <w:rFonts w:cs="Arial"/>
              </w:rPr>
              <w:t>4%</w:t>
            </w:r>
          </w:p>
        </w:tc>
      </w:tr>
      <w:tr w:rsidR="00C37913" w14:paraId="184402E3" w14:textId="77777777" w:rsidTr="00C37913">
        <w:tc>
          <w:tcPr>
            <w:tcW w:w="3495" w:type="dxa"/>
            <w:vAlign w:val="bottom"/>
          </w:tcPr>
          <w:p w14:paraId="412B9C6F" w14:textId="77777777" w:rsidR="00C37913" w:rsidRPr="00C37913" w:rsidRDefault="00C37913" w:rsidP="0035288B">
            <w:pPr>
              <w:rPr>
                <w:rFonts w:cs="Arial"/>
              </w:rPr>
            </w:pPr>
            <w:r w:rsidRPr="00C37913">
              <w:rPr>
                <w:rFonts w:cs="Arial"/>
              </w:rPr>
              <w:t>Spelthorne</w:t>
            </w:r>
          </w:p>
        </w:tc>
        <w:tc>
          <w:tcPr>
            <w:tcW w:w="3495" w:type="dxa"/>
            <w:vAlign w:val="center"/>
          </w:tcPr>
          <w:p w14:paraId="411D2E4F" w14:textId="77777777" w:rsidR="00C37913" w:rsidRPr="00C37913" w:rsidRDefault="00C37913" w:rsidP="0035288B">
            <w:pPr>
              <w:jc w:val="center"/>
              <w:rPr>
                <w:rFonts w:cs="Arial"/>
              </w:rPr>
            </w:pPr>
            <w:r w:rsidRPr="00C37913">
              <w:rPr>
                <w:rFonts w:cs="Arial"/>
              </w:rPr>
              <w:t>19</w:t>
            </w:r>
          </w:p>
        </w:tc>
        <w:tc>
          <w:tcPr>
            <w:tcW w:w="3495" w:type="dxa"/>
            <w:vAlign w:val="center"/>
          </w:tcPr>
          <w:p w14:paraId="17865A54" w14:textId="77777777" w:rsidR="00C37913" w:rsidRPr="00C37913" w:rsidRDefault="00C37913" w:rsidP="0035288B">
            <w:pPr>
              <w:jc w:val="center"/>
              <w:rPr>
                <w:rFonts w:cs="Arial"/>
              </w:rPr>
            </w:pPr>
            <w:r w:rsidRPr="00C37913">
              <w:rPr>
                <w:rFonts w:cs="Arial"/>
              </w:rPr>
              <w:t>9%</w:t>
            </w:r>
          </w:p>
        </w:tc>
      </w:tr>
      <w:tr w:rsidR="00C37913" w14:paraId="7AC5A102" w14:textId="77777777" w:rsidTr="00C37913">
        <w:tc>
          <w:tcPr>
            <w:tcW w:w="3495" w:type="dxa"/>
            <w:vAlign w:val="bottom"/>
          </w:tcPr>
          <w:p w14:paraId="042F850D" w14:textId="77777777" w:rsidR="00C37913" w:rsidRPr="00C37913" w:rsidRDefault="00C37913" w:rsidP="0035288B">
            <w:pPr>
              <w:rPr>
                <w:rFonts w:cs="Arial"/>
              </w:rPr>
            </w:pPr>
            <w:r w:rsidRPr="00C37913">
              <w:rPr>
                <w:rFonts w:cs="Arial"/>
              </w:rPr>
              <w:t>Surrey Heath</w:t>
            </w:r>
          </w:p>
        </w:tc>
        <w:tc>
          <w:tcPr>
            <w:tcW w:w="3495" w:type="dxa"/>
            <w:vAlign w:val="center"/>
          </w:tcPr>
          <w:p w14:paraId="2E0FFB3F" w14:textId="77777777" w:rsidR="00C37913" w:rsidRPr="00C37913" w:rsidRDefault="00C37913" w:rsidP="0035288B">
            <w:pPr>
              <w:jc w:val="center"/>
              <w:rPr>
                <w:rFonts w:cs="Arial"/>
              </w:rPr>
            </w:pPr>
            <w:r w:rsidRPr="00C37913">
              <w:rPr>
                <w:rFonts w:cs="Arial"/>
              </w:rPr>
              <w:t>62</w:t>
            </w:r>
          </w:p>
        </w:tc>
        <w:tc>
          <w:tcPr>
            <w:tcW w:w="3495" w:type="dxa"/>
            <w:vAlign w:val="center"/>
          </w:tcPr>
          <w:p w14:paraId="36266A37" w14:textId="77777777" w:rsidR="00C37913" w:rsidRPr="00C37913" w:rsidRDefault="00C37913" w:rsidP="0035288B">
            <w:pPr>
              <w:jc w:val="center"/>
              <w:rPr>
                <w:rFonts w:cs="Arial"/>
              </w:rPr>
            </w:pPr>
            <w:r w:rsidRPr="00C37913">
              <w:rPr>
                <w:rFonts w:cs="Arial"/>
              </w:rPr>
              <w:t>30%</w:t>
            </w:r>
          </w:p>
        </w:tc>
      </w:tr>
      <w:tr w:rsidR="00C37913" w14:paraId="08A7F85A" w14:textId="77777777" w:rsidTr="00C37913">
        <w:tc>
          <w:tcPr>
            <w:tcW w:w="3495" w:type="dxa"/>
            <w:vAlign w:val="bottom"/>
          </w:tcPr>
          <w:p w14:paraId="0ABED28D" w14:textId="77777777" w:rsidR="00C37913" w:rsidRPr="00C37913" w:rsidRDefault="00C37913" w:rsidP="0035288B">
            <w:pPr>
              <w:rPr>
                <w:rFonts w:cs="Arial"/>
              </w:rPr>
            </w:pPr>
            <w:r w:rsidRPr="00C37913">
              <w:rPr>
                <w:rFonts w:cs="Arial"/>
              </w:rPr>
              <w:t>Tandridge</w:t>
            </w:r>
          </w:p>
        </w:tc>
        <w:tc>
          <w:tcPr>
            <w:tcW w:w="3495" w:type="dxa"/>
            <w:vAlign w:val="center"/>
          </w:tcPr>
          <w:p w14:paraId="55A01269" w14:textId="77777777" w:rsidR="00C37913" w:rsidRPr="00C37913" w:rsidRDefault="00C37913" w:rsidP="0035288B">
            <w:pPr>
              <w:jc w:val="center"/>
              <w:rPr>
                <w:rFonts w:cs="Arial"/>
              </w:rPr>
            </w:pPr>
            <w:r w:rsidRPr="00C37913">
              <w:rPr>
                <w:rFonts w:cs="Arial"/>
              </w:rPr>
              <w:t>4</w:t>
            </w:r>
          </w:p>
        </w:tc>
        <w:tc>
          <w:tcPr>
            <w:tcW w:w="3495" w:type="dxa"/>
            <w:vAlign w:val="center"/>
          </w:tcPr>
          <w:p w14:paraId="78EF1FE8" w14:textId="77777777" w:rsidR="00C37913" w:rsidRPr="00C37913" w:rsidRDefault="00C37913" w:rsidP="0035288B">
            <w:pPr>
              <w:jc w:val="center"/>
              <w:rPr>
                <w:rFonts w:cs="Arial"/>
              </w:rPr>
            </w:pPr>
            <w:r w:rsidRPr="00C37913">
              <w:rPr>
                <w:rFonts w:cs="Arial"/>
              </w:rPr>
              <w:t>2%</w:t>
            </w:r>
          </w:p>
        </w:tc>
      </w:tr>
      <w:tr w:rsidR="00C37913" w14:paraId="6267AE99" w14:textId="77777777" w:rsidTr="00C37913">
        <w:tc>
          <w:tcPr>
            <w:tcW w:w="3495" w:type="dxa"/>
            <w:vAlign w:val="bottom"/>
          </w:tcPr>
          <w:p w14:paraId="2EEF4BEB" w14:textId="77777777" w:rsidR="00C37913" w:rsidRPr="00C37913" w:rsidRDefault="00C37913" w:rsidP="0035288B">
            <w:pPr>
              <w:rPr>
                <w:rFonts w:cs="Arial"/>
              </w:rPr>
            </w:pPr>
            <w:r w:rsidRPr="00C37913">
              <w:rPr>
                <w:rFonts w:cs="Arial"/>
              </w:rPr>
              <w:t>Waverley</w:t>
            </w:r>
          </w:p>
        </w:tc>
        <w:tc>
          <w:tcPr>
            <w:tcW w:w="3495" w:type="dxa"/>
            <w:vAlign w:val="center"/>
          </w:tcPr>
          <w:p w14:paraId="2D404B31" w14:textId="77777777" w:rsidR="00C37913" w:rsidRPr="00C37913" w:rsidRDefault="00C37913" w:rsidP="0035288B">
            <w:pPr>
              <w:jc w:val="center"/>
              <w:rPr>
                <w:rFonts w:cs="Arial"/>
              </w:rPr>
            </w:pPr>
            <w:r w:rsidRPr="00C37913">
              <w:rPr>
                <w:rFonts w:cs="Arial"/>
              </w:rPr>
              <w:t>25</w:t>
            </w:r>
          </w:p>
        </w:tc>
        <w:tc>
          <w:tcPr>
            <w:tcW w:w="3495" w:type="dxa"/>
            <w:vAlign w:val="center"/>
          </w:tcPr>
          <w:p w14:paraId="169161F5" w14:textId="77777777" w:rsidR="00C37913" w:rsidRPr="00C37913" w:rsidRDefault="00C37913" w:rsidP="0035288B">
            <w:pPr>
              <w:jc w:val="center"/>
              <w:rPr>
                <w:rFonts w:cs="Arial"/>
              </w:rPr>
            </w:pPr>
            <w:r w:rsidRPr="00C37913">
              <w:rPr>
                <w:rFonts w:cs="Arial"/>
              </w:rPr>
              <w:t>12%</w:t>
            </w:r>
          </w:p>
        </w:tc>
      </w:tr>
      <w:tr w:rsidR="00C37913" w14:paraId="55E6732B" w14:textId="77777777" w:rsidTr="00C37913">
        <w:tc>
          <w:tcPr>
            <w:tcW w:w="3495" w:type="dxa"/>
            <w:vAlign w:val="bottom"/>
          </w:tcPr>
          <w:p w14:paraId="3EA1FF12" w14:textId="77777777" w:rsidR="00C37913" w:rsidRPr="00C37913" w:rsidRDefault="00C37913" w:rsidP="0035288B">
            <w:pPr>
              <w:rPr>
                <w:rFonts w:cs="Arial"/>
              </w:rPr>
            </w:pPr>
            <w:r w:rsidRPr="00C37913">
              <w:rPr>
                <w:rFonts w:cs="Arial"/>
              </w:rPr>
              <w:t>Woking</w:t>
            </w:r>
          </w:p>
        </w:tc>
        <w:tc>
          <w:tcPr>
            <w:tcW w:w="3495" w:type="dxa"/>
            <w:vAlign w:val="center"/>
          </w:tcPr>
          <w:p w14:paraId="67C3270F" w14:textId="77777777" w:rsidR="00C37913" w:rsidRPr="00C37913" w:rsidRDefault="00C37913" w:rsidP="0035288B">
            <w:pPr>
              <w:jc w:val="center"/>
              <w:rPr>
                <w:rFonts w:cs="Arial"/>
              </w:rPr>
            </w:pPr>
            <w:r w:rsidRPr="00C37913">
              <w:rPr>
                <w:rFonts w:cs="Arial"/>
              </w:rPr>
              <w:t>16</w:t>
            </w:r>
          </w:p>
        </w:tc>
        <w:tc>
          <w:tcPr>
            <w:tcW w:w="3495" w:type="dxa"/>
            <w:vAlign w:val="center"/>
          </w:tcPr>
          <w:p w14:paraId="44BE5C44" w14:textId="77777777" w:rsidR="00C37913" w:rsidRPr="00C37913" w:rsidRDefault="00C37913" w:rsidP="0035288B">
            <w:pPr>
              <w:jc w:val="center"/>
              <w:rPr>
                <w:rFonts w:cs="Arial"/>
              </w:rPr>
            </w:pPr>
            <w:r w:rsidRPr="00C37913">
              <w:rPr>
                <w:rFonts w:cs="Arial"/>
              </w:rPr>
              <w:t>8%</w:t>
            </w:r>
          </w:p>
        </w:tc>
      </w:tr>
      <w:tr w:rsidR="00C37913" w14:paraId="6FC72792" w14:textId="77777777" w:rsidTr="00C37913">
        <w:tc>
          <w:tcPr>
            <w:tcW w:w="3495" w:type="dxa"/>
            <w:vAlign w:val="bottom"/>
          </w:tcPr>
          <w:p w14:paraId="04DD29FE" w14:textId="77777777" w:rsidR="00C37913" w:rsidRPr="00C37913" w:rsidRDefault="00C37913" w:rsidP="0035288B">
            <w:pPr>
              <w:rPr>
                <w:rFonts w:cs="Arial"/>
              </w:rPr>
            </w:pPr>
            <w:r w:rsidRPr="00C37913">
              <w:rPr>
                <w:rFonts w:cs="Arial"/>
              </w:rPr>
              <w:t>Elsewhere</w:t>
            </w:r>
          </w:p>
        </w:tc>
        <w:tc>
          <w:tcPr>
            <w:tcW w:w="3495" w:type="dxa"/>
            <w:vAlign w:val="center"/>
          </w:tcPr>
          <w:p w14:paraId="33A0A1EF" w14:textId="77777777" w:rsidR="00C37913" w:rsidRPr="00C37913" w:rsidRDefault="00C37913" w:rsidP="0035288B">
            <w:pPr>
              <w:jc w:val="center"/>
              <w:rPr>
                <w:rFonts w:cs="Arial"/>
              </w:rPr>
            </w:pPr>
            <w:r w:rsidRPr="00C37913">
              <w:rPr>
                <w:rFonts w:cs="Arial"/>
              </w:rPr>
              <w:t>10</w:t>
            </w:r>
          </w:p>
        </w:tc>
        <w:tc>
          <w:tcPr>
            <w:tcW w:w="3495" w:type="dxa"/>
            <w:vAlign w:val="center"/>
          </w:tcPr>
          <w:p w14:paraId="34710B31" w14:textId="77777777" w:rsidR="00C37913" w:rsidRPr="00C37913" w:rsidRDefault="00C37913" w:rsidP="0035288B">
            <w:pPr>
              <w:jc w:val="center"/>
              <w:rPr>
                <w:rFonts w:cs="Arial"/>
              </w:rPr>
            </w:pPr>
            <w:r w:rsidRPr="00C37913">
              <w:rPr>
                <w:rFonts w:cs="Arial"/>
              </w:rPr>
              <w:t>5%</w:t>
            </w:r>
          </w:p>
        </w:tc>
      </w:tr>
      <w:tr w:rsidR="00C37913" w14:paraId="19459ED5" w14:textId="77777777" w:rsidTr="00C37913">
        <w:tc>
          <w:tcPr>
            <w:tcW w:w="3495" w:type="dxa"/>
            <w:vAlign w:val="bottom"/>
          </w:tcPr>
          <w:p w14:paraId="464604E6" w14:textId="77777777" w:rsidR="00C37913" w:rsidRPr="00C37913" w:rsidRDefault="00C37913" w:rsidP="0035288B">
            <w:pPr>
              <w:rPr>
                <w:rFonts w:cs="Arial"/>
              </w:rPr>
            </w:pPr>
            <w:r w:rsidRPr="00C37913">
              <w:rPr>
                <w:rFonts w:cs="Arial"/>
              </w:rPr>
              <w:t>Unknown</w:t>
            </w:r>
          </w:p>
        </w:tc>
        <w:tc>
          <w:tcPr>
            <w:tcW w:w="3495" w:type="dxa"/>
            <w:vAlign w:val="center"/>
          </w:tcPr>
          <w:p w14:paraId="0736C4F3" w14:textId="77777777" w:rsidR="00C37913" w:rsidRPr="00C37913" w:rsidRDefault="00C37913" w:rsidP="0035288B">
            <w:pPr>
              <w:jc w:val="center"/>
              <w:rPr>
                <w:rFonts w:cs="Arial"/>
              </w:rPr>
            </w:pPr>
            <w:r w:rsidRPr="00C37913">
              <w:rPr>
                <w:rFonts w:cs="Arial"/>
              </w:rPr>
              <w:t>2</w:t>
            </w:r>
          </w:p>
        </w:tc>
        <w:tc>
          <w:tcPr>
            <w:tcW w:w="3495" w:type="dxa"/>
            <w:vAlign w:val="center"/>
          </w:tcPr>
          <w:p w14:paraId="5B2E4623" w14:textId="77777777" w:rsidR="00C37913" w:rsidRPr="00C37913" w:rsidRDefault="00C37913" w:rsidP="0035288B">
            <w:pPr>
              <w:jc w:val="center"/>
              <w:rPr>
                <w:rFonts w:cs="Arial"/>
              </w:rPr>
            </w:pPr>
            <w:r w:rsidRPr="00C37913">
              <w:rPr>
                <w:rFonts w:cs="Arial"/>
              </w:rPr>
              <w:t>1%</w:t>
            </w:r>
          </w:p>
        </w:tc>
      </w:tr>
    </w:tbl>
    <w:p w14:paraId="17A3562C" w14:textId="2C092D1D" w:rsidR="00C37913" w:rsidRDefault="00C37913" w:rsidP="00561E43"/>
    <w:p w14:paraId="77146FF3" w14:textId="0EF853DB" w:rsidR="006B76E3" w:rsidRDefault="006B76E3" w:rsidP="00561E43">
      <w:r>
        <w:t>Table 2: Resident Quadrant of responders to LA Consultation</w:t>
      </w:r>
    </w:p>
    <w:p w14:paraId="67B5BDA4" w14:textId="77777777" w:rsidR="006B76E3" w:rsidRDefault="006B76E3" w:rsidP="00561E43"/>
    <w:tbl>
      <w:tblPr>
        <w:tblStyle w:val="TableGrid"/>
        <w:tblW w:w="0" w:type="auto"/>
        <w:tblLook w:val="04A0" w:firstRow="1" w:lastRow="0" w:firstColumn="1" w:lastColumn="0" w:noHBand="0" w:noVBand="1"/>
      </w:tblPr>
      <w:tblGrid>
        <w:gridCol w:w="3495"/>
        <w:gridCol w:w="3495"/>
        <w:gridCol w:w="3495"/>
      </w:tblGrid>
      <w:tr w:rsidR="00C37913" w14:paraId="462E644E" w14:textId="77777777" w:rsidTr="00C37913">
        <w:tc>
          <w:tcPr>
            <w:tcW w:w="3495" w:type="dxa"/>
            <w:shd w:val="clear" w:color="auto" w:fill="DBE5F1" w:themeFill="accent1" w:themeFillTint="33"/>
            <w:vAlign w:val="bottom"/>
          </w:tcPr>
          <w:p w14:paraId="57FD35B6" w14:textId="40C6EFB2" w:rsidR="00C37913" w:rsidRPr="00C37913" w:rsidRDefault="00C37913" w:rsidP="0035288B">
            <w:pPr>
              <w:jc w:val="center"/>
              <w:rPr>
                <w:rFonts w:cs="Arial"/>
                <w:b/>
                <w:bCs/>
              </w:rPr>
            </w:pPr>
            <w:r>
              <w:rPr>
                <w:rFonts w:cs="Arial"/>
                <w:b/>
                <w:bCs/>
              </w:rPr>
              <w:t>Quadrant</w:t>
            </w:r>
          </w:p>
        </w:tc>
        <w:tc>
          <w:tcPr>
            <w:tcW w:w="3495" w:type="dxa"/>
            <w:shd w:val="clear" w:color="auto" w:fill="DBE5F1" w:themeFill="accent1" w:themeFillTint="33"/>
            <w:vAlign w:val="bottom"/>
          </w:tcPr>
          <w:p w14:paraId="28026D3F" w14:textId="77777777" w:rsidR="00C37913" w:rsidRPr="00C37913" w:rsidRDefault="00C37913" w:rsidP="0035288B">
            <w:pPr>
              <w:jc w:val="center"/>
              <w:rPr>
                <w:rFonts w:cs="Arial"/>
                <w:b/>
                <w:bCs/>
              </w:rPr>
            </w:pPr>
            <w:r w:rsidRPr="00C37913">
              <w:rPr>
                <w:rFonts w:cs="Arial"/>
                <w:b/>
                <w:bCs/>
              </w:rPr>
              <w:t>Responses</w:t>
            </w:r>
          </w:p>
        </w:tc>
        <w:tc>
          <w:tcPr>
            <w:tcW w:w="3495" w:type="dxa"/>
            <w:shd w:val="clear" w:color="auto" w:fill="DBE5F1" w:themeFill="accent1" w:themeFillTint="33"/>
            <w:vAlign w:val="bottom"/>
          </w:tcPr>
          <w:p w14:paraId="0025D378" w14:textId="77777777" w:rsidR="00C37913" w:rsidRPr="00C37913" w:rsidRDefault="00C37913" w:rsidP="0035288B">
            <w:pPr>
              <w:jc w:val="center"/>
              <w:rPr>
                <w:rFonts w:cs="Arial"/>
                <w:b/>
                <w:bCs/>
              </w:rPr>
            </w:pPr>
            <w:r w:rsidRPr="00C37913">
              <w:rPr>
                <w:rFonts w:cs="Arial"/>
                <w:b/>
                <w:bCs/>
              </w:rPr>
              <w:t>Response %</w:t>
            </w:r>
          </w:p>
        </w:tc>
      </w:tr>
      <w:tr w:rsidR="00C37913" w14:paraId="2C3BF462" w14:textId="77777777" w:rsidTr="00C37913">
        <w:tc>
          <w:tcPr>
            <w:tcW w:w="3495" w:type="dxa"/>
            <w:vAlign w:val="bottom"/>
          </w:tcPr>
          <w:p w14:paraId="7CCAE9A3" w14:textId="77777777" w:rsidR="00C37913" w:rsidRPr="00C37913" w:rsidRDefault="00C37913" w:rsidP="0035288B">
            <w:pPr>
              <w:rPr>
                <w:rFonts w:cs="Arial"/>
              </w:rPr>
            </w:pPr>
            <w:r w:rsidRPr="00C37913">
              <w:rPr>
                <w:rFonts w:cs="Arial"/>
              </w:rPr>
              <w:t>North East</w:t>
            </w:r>
          </w:p>
        </w:tc>
        <w:tc>
          <w:tcPr>
            <w:tcW w:w="3495" w:type="dxa"/>
            <w:vAlign w:val="bottom"/>
          </w:tcPr>
          <w:p w14:paraId="0F72109F" w14:textId="77777777" w:rsidR="00C37913" w:rsidRPr="00C37913" w:rsidRDefault="00C37913" w:rsidP="0035288B">
            <w:pPr>
              <w:jc w:val="center"/>
              <w:rPr>
                <w:rFonts w:cs="Arial"/>
              </w:rPr>
            </w:pPr>
            <w:r w:rsidRPr="00C37913">
              <w:rPr>
                <w:rFonts w:cs="Arial"/>
              </w:rPr>
              <w:t>31</w:t>
            </w:r>
          </w:p>
        </w:tc>
        <w:tc>
          <w:tcPr>
            <w:tcW w:w="3495" w:type="dxa"/>
            <w:vAlign w:val="bottom"/>
          </w:tcPr>
          <w:p w14:paraId="25F467B9" w14:textId="77777777" w:rsidR="00C37913" w:rsidRPr="00C37913" w:rsidRDefault="00C37913" w:rsidP="0035288B">
            <w:pPr>
              <w:jc w:val="center"/>
              <w:rPr>
                <w:rFonts w:cs="Arial"/>
              </w:rPr>
            </w:pPr>
            <w:r w:rsidRPr="00C37913">
              <w:rPr>
                <w:rFonts w:cs="Arial"/>
              </w:rPr>
              <w:t>15%</w:t>
            </w:r>
          </w:p>
        </w:tc>
      </w:tr>
      <w:tr w:rsidR="00C37913" w14:paraId="70F903E4" w14:textId="77777777" w:rsidTr="00C37913">
        <w:tc>
          <w:tcPr>
            <w:tcW w:w="3495" w:type="dxa"/>
            <w:vAlign w:val="bottom"/>
          </w:tcPr>
          <w:p w14:paraId="131B14B8" w14:textId="77777777" w:rsidR="00C37913" w:rsidRPr="00C37913" w:rsidRDefault="00C37913" w:rsidP="0035288B">
            <w:pPr>
              <w:rPr>
                <w:rFonts w:cs="Arial"/>
              </w:rPr>
            </w:pPr>
            <w:r w:rsidRPr="00C37913">
              <w:rPr>
                <w:rFonts w:cs="Arial"/>
              </w:rPr>
              <w:t>North West</w:t>
            </w:r>
          </w:p>
        </w:tc>
        <w:tc>
          <w:tcPr>
            <w:tcW w:w="3495" w:type="dxa"/>
            <w:vAlign w:val="bottom"/>
          </w:tcPr>
          <w:p w14:paraId="10F68467" w14:textId="77777777" w:rsidR="00C37913" w:rsidRPr="00C37913" w:rsidRDefault="00C37913" w:rsidP="0035288B">
            <w:pPr>
              <w:jc w:val="center"/>
              <w:rPr>
                <w:rFonts w:cs="Arial"/>
              </w:rPr>
            </w:pPr>
            <w:r w:rsidRPr="00C37913">
              <w:rPr>
                <w:rFonts w:cs="Arial"/>
              </w:rPr>
              <w:t>86</w:t>
            </w:r>
          </w:p>
        </w:tc>
        <w:tc>
          <w:tcPr>
            <w:tcW w:w="3495" w:type="dxa"/>
            <w:vAlign w:val="bottom"/>
          </w:tcPr>
          <w:p w14:paraId="5C4227AD" w14:textId="77777777" w:rsidR="00C37913" w:rsidRPr="00C37913" w:rsidRDefault="00C37913" w:rsidP="0035288B">
            <w:pPr>
              <w:jc w:val="center"/>
              <w:rPr>
                <w:rFonts w:cs="Arial"/>
              </w:rPr>
            </w:pPr>
            <w:r w:rsidRPr="00C37913">
              <w:rPr>
                <w:rFonts w:cs="Arial"/>
              </w:rPr>
              <w:t>41%</w:t>
            </w:r>
          </w:p>
        </w:tc>
      </w:tr>
      <w:tr w:rsidR="00C37913" w14:paraId="4BC247F1" w14:textId="77777777" w:rsidTr="00C37913">
        <w:tc>
          <w:tcPr>
            <w:tcW w:w="3495" w:type="dxa"/>
            <w:vAlign w:val="bottom"/>
          </w:tcPr>
          <w:p w14:paraId="1C173F30" w14:textId="77777777" w:rsidR="00C37913" w:rsidRPr="00C37913" w:rsidRDefault="00C37913" w:rsidP="0035288B">
            <w:pPr>
              <w:rPr>
                <w:rFonts w:cs="Arial"/>
              </w:rPr>
            </w:pPr>
            <w:r w:rsidRPr="00C37913">
              <w:rPr>
                <w:rFonts w:cs="Arial"/>
              </w:rPr>
              <w:t>South East</w:t>
            </w:r>
          </w:p>
        </w:tc>
        <w:tc>
          <w:tcPr>
            <w:tcW w:w="3495" w:type="dxa"/>
            <w:vAlign w:val="bottom"/>
          </w:tcPr>
          <w:p w14:paraId="42DFC391" w14:textId="77777777" w:rsidR="00C37913" w:rsidRPr="00C37913" w:rsidRDefault="00C37913" w:rsidP="0035288B">
            <w:pPr>
              <w:jc w:val="center"/>
              <w:rPr>
                <w:rFonts w:cs="Arial"/>
              </w:rPr>
            </w:pPr>
            <w:r w:rsidRPr="00C37913">
              <w:rPr>
                <w:rFonts w:cs="Arial"/>
              </w:rPr>
              <w:t>36</w:t>
            </w:r>
          </w:p>
        </w:tc>
        <w:tc>
          <w:tcPr>
            <w:tcW w:w="3495" w:type="dxa"/>
            <w:vAlign w:val="bottom"/>
          </w:tcPr>
          <w:p w14:paraId="1D5E752F" w14:textId="77777777" w:rsidR="00C37913" w:rsidRPr="00C37913" w:rsidRDefault="00C37913" w:rsidP="0035288B">
            <w:pPr>
              <w:jc w:val="center"/>
              <w:rPr>
                <w:rFonts w:cs="Arial"/>
              </w:rPr>
            </w:pPr>
            <w:r w:rsidRPr="00C37913">
              <w:rPr>
                <w:rFonts w:cs="Arial"/>
              </w:rPr>
              <w:t>17%</w:t>
            </w:r>
          </w:p>
        </w:tc>
      </w:tr>
      <w:tr w:rsidR="00C37913" w14:paraId="77FD0502" w14:textId="77777777" w:rsidTr="00C37913">
        <w:tc>
          <w:tcPr>
            <w:tcW w:w="3495" w:type="dxa"/>
            <w:vAlign w:val="bottom"/>
          </w:tcPr>
          <w:p w14:paraId="774EC768" w14:textId="77777777" w:rsidR="00C37913" w:rsidRPr="00C37913" w:rsidRDefault="00C37913" w:rsidP="0035288B">
            <w:pPr>
              <w:rPr>
                <w:rFonts w:cs="Arial"/>
              </w:rPr>
            </w:pPr>
            <w:r w:rsidRPr="00C37913">
              <w:rPr>
                <w:rFonts w:cs="Arial"/>
              </w:rPr>
              <w:t>South West</w:t>
            </w:r>
          </w:p>
        </w:tc>
        <w:tc>
          <w:tcPr>
            <w:tcW w:w="3495" w:type="dxa"/>
            <w:vAlign w:val="bottom"/>
          </w:tcPr>
          <w:p w14:paraId="2444DF56" w14:textId="77777777" w:rsidR="00C37913" w:rsidRPr="00C37913" w:rsidRDefault="00C37913" w:rsidP="0035288B">
            <w:pPr>
              <w:jc w:val="center"/>
              <w:rPr>
                <w:rFonts w:cs="Arial"/>
              </w:rPr>
            </w:pPr>
            <w:r w:rsidRPr="00C37913">
              <w:rPr>
                <w:rFonts w:cs="Arial"/>
              </w:rPr>
              <w:t>44</w:t>
            </w:r>
          </w:p>
        </w:tc>
        <w:tc>
          <w:tcPr>
            <w:tcW w:w="3495" w:type="dxa"/>
            <w:vAlign w:val="bottom"/>
          </w:tcPr>
          <w:p w14:paraId="0138B825" w14:textId="77777777" w:rsidR="00C37913" w:rsidRPr="00C37913" w:rsidRDefault="00C37913" w:rsidP="0035288B">
            <w:pPr>
              <w:jc w:val="center"/>
              <w:rPr>
                <w:rFonts w:cs="Arial"/>
              </w:rPr>
            </w:pPr>
            <w:r w:rsidRPr="00C37913">
              <w:rPr>
                <w:rFonts w:cs="Arial"/>
              </w:rPr>
              <w:t>21%</w:t>
            </w:r>
          </w:p>
        </w:tc>
      </w:tr>
      <w:tr w:rsidR="00C37913" w14:paraId="59859D6A" w14:textId="77777777" w:rsidTr="00C37913">
        <w:tc>
          <w:tcPr>
            <w:tcW w:w="3495" w:type="dxa"/>
            <w:vAlign w:val="bottom"/>
          </w:tcPr>
          <w:p w14:paraId="40B605F4" w14:textId="77777777" w:rsidR="00C37913" w:rsidRPr="00C37913" w:rsidRDefault="00C37913" w:rsidP="0035288B">
            <w:pPr>
              <w:rPr>
                <w:rFonts w:cs="Arial"/>
              </w:rPr>
            </w:pPr>
            <w:r w:rsidRPr="00C37913">
              <w:rPr>
                <w:rFonts w:cs="Arial"/>
              </w:rPr>
              <w:t>Other</w:t>
            </w:r>
          </w:p>
        </w:tc>
        <w:tc>
          <w:tcPr>
            <w:tcW w:w="3495" w:type="dxa"/>
            <w:vAlign w:val="bottom"/>
          </w:tcPr>
          <w:p w14:paraId="220F3A22" w14:textId="77777777" w:rsidR="00C37913" w:rsidRPr="00C37913" w:rsidRDefault="00C37913" w:rsidP="0035288B">
            <w:pPr>
              <w:jc w:val="center"/>
              <w:rPr>
                <w:rFonts w:cs="Arial"/>
              </w:rPr>
            </w:pPr>
            <w:r w:rsidRPr="00C37913">
              <w:rPr>
                <w:rFonts w:cs="Arial"/>
              </w:rPr>
              <w:t>12</w:t>
            </w:r>
          </w:p>
        </w:tc>
        <w:tc>
          <w:tcPr>
            <w:tcW w:w="3495" w:type="dxa"/>
            <w:vAlign w:val="bottom"/>
          </w:tcPr>
          <w:p w14:paraId="3D35F1AF" w14:textId="77777777" w:rsidR="00C37913" w:rsidRPr="00C37913" w:rsidRDefault="00C37913" w:rsidP="0035288B">
            <w:pPr>
              <w:jc w:val="center"/>
              <w:rPr>
                <w:rFonts w:cs="Arial"/>
              </w:rPr>
            </w:pPr>
            <w:r w:rsidRPr="00C37913">
              <w:rPr>
                <w:rFonts w:cs="Arial"/>
              </w:rPr>
              <w:t>6%</w:t>
            </w:r>
          </w:p>
        </w:tc>
      </w:tr>
    </w:tbl>
    <w:p w14:paraId="2BA24FD6" w14:textId="61028DF3" w:rsidR="00561E43" w:rsidRDefault="00561E43" w:rsidP="00B01B81"/>
    <w:p w14:paraId="10110C91" w14:textId="2AFF36C0" w:rsidR="00E774AB" w:rsidRDefault="00C37913" w:rsidP="00C37913">
      <w:pPr>
        <w:pStyle w:val="Heading3"/>
      </w:pPr>
      <w:r>
        <w:t>General Themes</w:t>
      </w:r>
    </w:p>
    <w:p w14:paraId="791BE160" w14:textId="77777777" w:rsidR="00E774AB" w:rsidRDefault="00E774AB" w:rsidP="00E774AB"/>
    <w:p w14:paraId="259CD924" w14:textId="62CBB7FA" w:rsidR="00C37913" w:rsidRDefault="00C37913" w:rsidP="00C37913">
      <w:r>
        <w:t>As part of the consultation, respondents were given the opportunity to put forward their view in a free text format. An analysis of these responses has picked up the following general themes:</w:t>
      </w:r>
    </w:p>
    <w:p w14:paraId="3C5DCDE8" w14:textId="77777777" w:rsidR="00C37913" w:rsidRDefault="00C37913" w:rsidP="00C37913"/>
    <w:p w14:paraId="0D430A08" w14:textId="77777777" w:rsidR="00C37913" w:rsidRDefault="00C37913" w:rsidP="00C37913">
      <w:r>
        <w:t>1.</w:t>
      </w:r>
      <w:r>
        <w:tab/>
        <w:t>Geography</w:t>
      </w:r>
    </w:p>
    <w:p w14:paraId="5FE4811D" w14:textId="25D5793F" w:rsidR="00C37913" w:rsidRDefault="00C37913" w:rsidP="00C37913">
      <w:pPr>
        <w:ind w:left="720"/>
      </w:pPr>
      <w:r>
        <w:t>a.</w:t>
      </w:r>
      <w:r>
        <w:tab/>
        <w:t>Provision needs to be even</w:t>
      </w:r>
      <w:r w:rsidR="006B76E3">
        <w:t>ly</w:t>
      </w:r>
      <w:r>
        <w:t xml:space="preserve"> spread around the county.</w:t>
      </w:r>
    </w:p>
    <w:p w14:paraId="5C3A15D1" w14:textId="77777777" w:rsidR="00C37913" w:rsidRDefault="00C37913" w:rsidP="00C37913">
      <w:pPr>
        <w:ind w:left="720"/>
      </w:pPr>
      <w:r>
        <w:t>b.</w:t>
      </w:r>
      <w:r>
        <w:tab/>
        <w:t>Other areas also have need for more provision.</w:t>
      </w:r>
    </w:p>
    <w:p w14:paraId="3B63DC6D" w14:textId="77777777" w:rsidR="00C37913" w:rsidRDefault="00C37913" w:rsidP="00C37913"/>
    <w:p w14:paraId="010C11DA" w14:textId="77777777" w:rsidR="00C37913" w:rsidRDefault="00C37913" w:rsidP="00C37913">
      <w:r>
        <w:t>2.</w:t>
      </w:r>
      <w:r>
        <w:tab/>
        <w:t>Need</w:t>
      </w:r>
    </w:p>
    <w:p w14:paraId="471579EA" w14:textId="3A27FF20" w:rsidR="00C37913" w:rsidRDefault="00C37913" w:rsidP="00C37913">
      <w:pPr>
        <w:ind w:left="720"/>
      </w:pPr>
      <w:r>
        <w:t>a.</w:t>
      </w:r>
      <w:r>
        <w:tab/>
        <w:t xml:space="preserve">There is a general recognition of the need for more </w:t>
      </w:r>
      <w:r w:rsidR="00704552">
        <w:t xml:space="preserve">Autism and Communication &amp; Interaction Needs </w:t>
      </w:r>
      <w:r>
        <w:t xml:space="preserve">places. </w:t>
      </w:r>
    </w:p>
    <w:p w14:paraId="1DF2D5CF" w14:textId="77777777" w:rsidR="00C37913" w:rsidRDefault="00C37913" w:rsidP="00C37913">
      <w:pPr>
        <w:ind w:left="720"/>
      </w:pPr>
      <w:r>
        <w:t>b.</w:t>
      </w:r>
      <w:r>
        <w:tab/>
        <w:t>That need is seen as urgent and large in scale.</w:t>
      </w:r>
    </w:p>
    <w:p w14:paraId="0801364D" w14:textId="77777777" w:rsidR="00C37913" w:rsidRDefault="00C37913" w:rsidP="00C37913"/>
    <w:p w14:paraId="318CE21E" w14:textId="272CA249" w:rsidR="00C37913" w:rsidRDefault="00C37913" w:rsidP="00C37913">
      <w:r>
        <w:t>3.</w:t>
      </w:r>
      <w:r>
        <w:tab/>
        <w:t xml:space="preserve">Travel </w:t>
      </w:r>
    </w:p>
    <w:p w14:paraId="04CB70F1" w14:textId="77777777" w:rsidR="00C37913" w:rsidRDefault="00C37913" w:rsidP="00C37913">
      <w:pPr>
        <w:ind w:left="720"/>
      </w:pPr>
      <w:r>
        <w:t>a.</w:t>
      </w:r>
      <w:r>
        <w:tab/>
        <w:t>A new school would be welcomed if it would mean children being able to access local provision.</w:t>
      </w:r>
    </w:p>
    <w:p w14:paraId="0BB89170" w14:textId="77777777" w:rsidR="00C37913" w:rsidRDefault="00C37913" w:rsidP="00C37913">
      <w:pPr>
        <w:ind w:left="720"/>
      </w:pPr>
      <w:r>
        <w:t>b.</w:t>
      </w:r>
      <w:r>
        <w:tab/>
        <w:t>Reducing travel times would be a significant benefit.</w:t>
      </w:r>
    </w:p>
    <w:p w14:paraId="42B03EE5" w14:textId="77777777" w:rsidR="00C37913" w:rsidRDefault="00C37913" w:rsidP="00C37913"/>
    <w:p w14:paraId="7E699C6C" w14:textId="5A9B2390" w:rsidR="00C37913" w:rsidRDefault="00C37913" w:rsidP="00C37913">
      <w:r>
        <w:t>4.</w:t>
      </w:r>
      <w:r>
        <w:tab/>
        <w:t>Existing gaps in provision</w:t>
      </w:r>
      <w:r w:rsidR="00977F5C">
        <w:t xml:space="preserve">. </w:t>
      </w:r>
      <w:r w:rsidR="00977F5C">
        <w:t>There is a view that there are gaps in provision for</w:t>
      </w:r>
      <w:r w:rsidR="00977F5C">
        <w:t>:</w:t>
      </w:r>
    </w:p>
    <w:p w14:paraId="34A2D525" w14:textId="1A0C9F52" w:rsidR="00C37913" w:rsidRDefault="00C37913" w:rsidP="00C37913">
      <w:pPr>
        <w:ind w:left="720"/>
      </w:pPr>
      <w:r>
        <w:t>a.</w:t>
      </w:r>
      <w:r>
        <w:tab/>
      </w:r>
      <w:r w:rsidR="00977F5C">
        <w:t xml:space="preserve">High functioning autistic </w:t>
      </w:r>
      <w:r>
        <w:t>pupils</w:t>
      </w:r>
      <w:r w:rsidR="00977F5C">
        <w:t xml:space="preserve"> and those</w:t>
      </w:r>
      <w:r>
        <w:t xml:space="preserve"> with </w:t>
      </w:r>
      <w:r w:rsidR="00977F5C">
        <w:t>c</w:t>
      </w:r>
      <w:r w:rsidR="00704552">
        <w:t xml:space="preserve">ommunication </w:t>
      </w:r>
      <w:r w:rsidR="00977F5C">
        <w:t>and</w:t>
      </w:r>
      <w:r w:rsidR="00704552">
        <w:t xml:space="preserve"> </w:t>
      </w:r>
      <w:r w:rsidR="00977F5C">
        <w:t>i</w:t>
      </w:r>
      <w:r w:rsidR="00704552">
        <w:t xml:space="preserve">nteraction </w:t>
      </w:r>
      <w:proofErr w:type="gramStart"/>
      <w:r w:rsidR="00977F5C">
        <w:t>n</w:t>
      </w:r>
      <w:r w:rsidR="00704552">
        <w:t>eeds;</w:t>
      </w:r>
      <w:proofErr w:type="gramEnd"/>
    </w:p>
    <w:p w14:paraId="65D7B44C" w14:textId="10DCCEDA" w:rsidR="00C37913" w:rsidRDefault="00C37913" w:rsidP="00C37913">
      <w:pPr>
        <w:ind w:left="720"/>
      </w:pPr>
      <w:r>
        <w:t>b.</w:t>
      </w:r>
      <w:r>
        <w:tab/>
      </w:r>
      <w:r w:rsidR="00977F5C">
        <w:t>Autistic g</w:t>
      </w:r>
      <w:r>
        <w:t xml:space="preserve">irls </w:t>
      </w:r>
      <w:r w:rsidR="00977F5C">
        <w:t xml:space="preserve">and girls </w:t>
      </w:r>
      <w:r>
        <w:t xml:space="preserve">with </w:t>
      </w:r>
      <w:r w:rsidR="00977F5C">
        <w:t>c</w:t>
      </w:r>
      <w:r w:rsidR="00704552">
        <w:t xml:space="preserve">ommunication </w:t>
      </w:r>
      <w:r w:rsidR="00977F5C">
        <w:t>and</w:t>
      </w:r>
      <w:r w:rsidR="00704552">
        <w:t xml:space="preserve"> </w:t>
      </w:r>
      <w:r w:rsidR="00977F5C">
        <w:t>i</w:t>
      </w:r>
      <w:r w:rsidR="00704552">
        <w:t xml:space="preserve">nteraction </w:t>
      </w:r>
      <w:proofErr w:type="gramStart"/>
      <w:r w:rsidR="00977F5C">
        <w:t>n</w:t>
      </w:r>
      <w:r w:rsidR="00704552">
        <w:t>eeds</w:t>
      </w:r>
      <w:r>
        <w:t>;</w:t>
      </w:r>
      <w:proofErr w:type="gramEnd"/>
    </w:p>
    <w:p w14:paraId="1F2CA8DE" w14:textId="122F5DE8" w:rsidR="00C37913" w:rsidRDefault="00C37913" w:rsidP="00C37913">
      <w:pPr>
        <w:ind w:left="720"/>
      </w:pPr>
      <w:r>
        <w:t>c.</w:t>
      </w:r>
      <w:r>
        <w:tab/>
      </w:r>
      <w:r w:rsidR="00977F5C">
        <w:t>Autistic c</w:t>
      </w:r>
      <w:r>
        <w:t xml:space="preserve">hildren </w:t>
      </w:r>
      <w:r w:rsidR="00977F5C">
        <w:t xml:space="preserve">and those </w:t>
      </w:r>
      <w:r>
        <w:t xml:space="preserve">with </w:t>
      </w:r>
      <w:r w:rsidR="00977F5C">
        <w:t>c</w:t>
      </w:r>
      <w:r w:rsidR="00704552">
        <w:t xml:space="preserve">ommunication </w:t>
      </w:r>
      <w:r w:rsidR="00977F5C">
        <w:t>and i</w:t>
      </w:r>
      <w:r w:rsidR="00704552">
        <w:t xml:space="preserve">nteraction </w:t>
      </w:r>
      <w:r w:rsidR="00977F5C">
        <w:t>n</w:t>
      </w:r>
      <w:r w:rsidR="00704552">
        <w:t xml:space="preserve">eeds </w:t>
      </w:r>
      <w:r>
        <w:t>who find accessing a school places difficult.</w:t>
      </w:r>
    </w:p>
    <w:p w14:paraId="0F571DA6" w14:textId="77777777" w:rsidR="00C37913" w:rsidRDefault="00C37913" w:rsidP="00C37913"/>
    <w:p w14:paraId="1C192A58" w14:textId="77777777" w:rsidR="00C37913" w:rsidRDefault="00C37913" w:rsidP="00C37913">
      <w:r>
        <w:t>5.</w:t>
      </w:r>
      <w:r>
        <w:tab/>
        <w:t xml:space="preserve">Type of offer </w:t>
      </w:r>
    </w:p>
    <w:p w14:paraId="0C7A3EEC" w14:textId="77777777" w:rsidR="00C37913" w:rsidRDefault="00C37913" w:rsidP="00C37913">
      <w:pPr>
        <w:ind w:left="720"/>
      </w:pPr>
      <w:r>
        <w:t>a.</w:t>
      </w:r>
      <w:r>
        <w:tab/>
        <w:t xml:space="preserve">Views were expressed that the school should include post-16. </w:t>
      </w:r>
    </w:p>
    <w:p w14:paraId="3A0C9731" w14:textId="3D0C6487" w:rsidR="00E774AB" w:rsidRDefault="00C37913" w:rsidP="00C37913">
      <w:pPr>
        <w:ind w:left="720"/>
      </w:pPr>
      <w:r>
        <w:t>b.</w:t>
      </w:r>
      <w:r>
        <w:tab/>
        <w:t xml:space="preserve">Different, varying types of needs around </w:t>
      </w:r>
      <w:r w:rsidR="00704552">
        <w:t>Autism and Communication &amp; Interaction Needs</w:t>
      </w:r>
      <w:r>
        <w:t xml:space="preserve"> should be catered for.</w:t>
      </w:r>
    </w:p>
    <w:p w14:paraId="4157B808" w14:textId="5D3BEAF6" w:rsidR="00E774AB" w:rsidRDefault="00E774AB" w:rsidP="00B01B81"/>
    <w:p w14:paraId="197E30AF" w14:textId="77777777" w:rsidR="00C37913" w:rsidRDefault="00C37913" w:rsidP="00C37913">
      <w:pPr>
        <w:pStyle w:val="Heading3"/>
      </w:pPr>
    </w:p>
    <w:p w14:paraId="68117EC3" w14:textId="613F412F" w:rsidR="00E774AB" w:rsidRDefault="00C37913" w:rsidP="00C37913">
      <w:pPr>
        <w:pStyle w:val="Heading3"/>
      </w:pPr>
      <w:r>
        <w:t>Overall Themes</w:t>
      </w:r>
    </w:p>
    <w:p w14:paraId="0238EC2A" w14:textId="77777777" w:rsidR="00E774AB" w:rsidRDefault="00E774AB" w:rsidP="00E774AB"/>
    <w:p w14:paraId="61FE98C3" w14:textId="4B0B8B09" w:rsidR="00417449" w:rsidRDefault="00417449" w:rsidP="00417449">
      <w:r w:rsidRPr="00417449">
        <w:t>Two</w:t>
      </w:r>
      <w:r>
        <w:t xml:space="preserve"> questions were asked to gauge each respondent’s general view of the proposal. The responses were overwhelmingly positive as shown in </w:t>
      </w:r>
      <w:r w:rsidR="006B76E3">
        <w:t>Table 3</w:t>
      </w:r>
      <w:r>
        <w:t>:</w:t>
      </w:r>
    </w:p>
    <w:p w14:paraId="48A4BF8C" w14:textId="7355342D" w:rsidR="006B76E3" w:rsidRDefault="006B76E3" w:rsidP="00417449"/>
    <w:p w14:paraId="26BF85C8" w14:textId="26BBAC2C" w:rsidR="006B76E3" w:rsidRDefault="006B76E3" w:rsidP="00417449">
      <w:r>
        <w:t>Table 3: Heading here</w:t>
      </w:r>
    </w:p>
    <w:p w14:paraId="2CE23F86" w14:textId="77777777" w:rsidR="00417449" w:rsidRDefault="00417449" w:rsidP="00417449"/>
    <w:tbl>
      <w:tblPr>
        <w:tblStyle w:val="TableGrid"/>
        <w:tblW w:w="0" w:type="auto"/>
        <w:tblLook w:val="04A0" w:firstRow="1" w:lastRow="0" w:firstColumn="1" w:lastColumn="0" w:noHBand="0" w:noVBand="1"/>
      </w:tblPr>
      <w:tblGrid>
        <w:gridCol w:w="5949"/>
        <w:gridCol w:w="1512"/>
        <w:gridCol w:w="1512"/>
        <w:gridCol w:w="1512"/>
      </w:tblGrid>
      <w:tr w:rsidR="00417449" w14:paraId="3319C89C" w14:textId="77777777" w:rsidTr="00417449">
        <w:tc>
          <w:tcPr>
            <w:tcW w:w="5949" w:type="dxa"/>
            <w:shd w:val="clear" w:color="auto" w:fill="DBE5F1" w:themeFill="accent1" w:themeFillTint="33"/>
            <w:vAlign w:val="center"/>
          </w:tcPr>
          <w:p w14:paraId="7F376ECA" w14:textId="77777777" w:rsidR="00417449" w:rsidRPr="00417449" w:rsidRDefault="00417449" w:rsidP="0035288B">
            <w:pPr>
              <w:jc w:val="center"/>
              <w:rPr>
                <w:rFonts w:cs="Arial"/>
                <w:b/>
                <w:bCs/>
              </w:rPr>
            </w:pPr>
            <w:r w:rsidRPr="00417449">
              <w:rPr>
                <w:rFonts w:cs="Arial"/>
                <w:b/>
                <w:bCs/>
              </w:rPr>
              <w:t>Question</w:t>
            </w:r>
          </w:p>
        </w:tc>
        <w:tc>
          <w:tcPr>
            <w:tcW w:w="1512" w:type="dxa"/>
            <w:shd w:val="clear" w:color="auto" w:fill="DBE5F1" w:themeFill="accent1" w:themeFillTint="33"/>
            <w:vAlign w:val="center"/>
          </w:tcPr>
          <w:p w14:paraId="0CA2488D" w14:textId="77777777" w:rsidR="00417449" w:rsidRPr="00417449" w:rsidRDefault="00417449" w:rsidP="0035288B">
            <w:pPr>
              <w:jc w:val="center"/>
              <w:rPr>
                <w:rFonts w:cs="Arial"/>
                <w:b/>
                <w:bCs/>
              </w:rPr>
            </w:pPr>
            <w:r w:rsidRPr="00417449">
              <w:rPr>
                <w:rFonts w:cs="Arial"/>
                <w:b/>
                <w:bCs/>
              </w:rPr>
              <w:t>Yes</w:t>
            </w:r>
          </w:p>
        </w:tc>
        <w:tc>
          <w:tcPr>
            <w:tcW w:w="1512" w:type="dxa"/>
            <w:shd w:val="clear" w:color="auto" w:fill="DBE5F1" w:themeFill="accent1" w:themeFillTint="33"/>
            <w:vAlign w:val="center"/>
          </w:tcPr>
          <w:p w14:paraId="48C604CA" w14:textId="77777777" w:rsidR="00417449" w:rsidRPr="00417449" w:rsidRDefault="00417449" w:rsidP="0035288B">
            <w:pPr>
              <w:jc w:val="center"/>
              <w:rPr>
                <w:rFonts w:cs="Arial"/>
                <w:b/>
                <w:bCs/>
              </w:rPr>
            </w:pPr>
            <w:r w:rsidRPr="00417449">
              <w:rPr>
                <w:rFonts w:cs="Arial"/>
                <w:b/>
                <w:bCs/>
              </w:rPr>
              <w:t>Not Sure</w:t>
            </w:r>
          </w:p>
        </w:tc>
        <w:tc>
          <w:tcPr>
            <w:tcW w:w="1512" w:type="dxa"/>
            <w:shd w:val="clear" w:color="auto" w:fill="DBE5F1" w:themeFill="accent1" w:themeFillTint="33"/>
            <w:vAlign w:val="center"/>
          </w:tcPr>
          <w:p w14:paraId="6FB2A2BB" w14:textId="77777777" w:rsidR="00417449" w:rsidRPr="00417449" w:rsidRDefault="00417449" w:rsidP="0035288B">
            <w:pPr>
              <w:jc w:val="center"/>
              <w:rPr>
                <w:rFonts w:cs="Arial"/>
                <w:b/>
                <w:bCs/>
              </w:rPr>
            </w:pPr>
            <w:r w:rsidRPr="00417449">
              <w:rPr>
                <w:rFonts w:cs="Arial"/>
                <w:b/>
                <w:bCs/>
              </w:rPr>
              <w:t>No</w:t>
            </w:r>
          </w:p>
        </w:tc>
      </w:tr>
      <w:tr w:rsidR="00417449" w14:paraId="20E6F028" w14:textId="77777777" w:rsidTr="00417449">
        <w:tc>
          <w:tcPr>
            <w:tcW w:w="5949" w:type="dxa"/>
            <w:vAlign w:val="center"/>
          </w:tcPr>
          <w:p w14:paraId="7F31D911" w14:textId="77777777" w:rsidR="00417449" w:rsidRPr="00417449" w:rsidRDefault="00417449" w:rsidP="0035288B">
            <w:pPr>
              <w:rPr>
                <w:rFonts w:cs="Arial"/>
              </w:rPr>
            </w:pPr>
            <w:r w:rsidRPr="00417449">
              <w:rPr>
                <w:rFonts w:cs="Arial"/>
              </w:rPr>
              <w:t>Do you agree with the proposal to open a new Special Free School with places for up to 200 pupils with ASC in West Surrey from September 2024?</w:t>
            </w:r>
          </w:p>
        </w:tc>
        <w:tc>
          <w:tcPr>
            <w:tcW w:w="1512" w:type="dxa"/>
            <w:vAlign w:val="center"/>
          </w:tcPr>
          <w:p w14:paraId="36615D8F" w14:textId="77777777" w:rsidR="00417449" w:rsidRPr="00417449" w:rsidRDefault="00417449" w:rsidP="0035288B">
            <w:pPr>
              <w:jc w:val="center"/>
              <w:rPr>
                <w:rFonts w:cs="Arial"/>
              </w:rPr>
            </w:pPr>
            <w:r w:rsidRPr="00417449">
              <w:rPr>
                <w:rFonts w:cs="Arial"/>
              </w:rPr>
              <w:t>202</w:t>
            </w:r>
          </w:p>
        </w:tc>
        <w:tc>
          <w:tcPr>
            <w:tcW w:w="1512" w:type="dxa"/>
            <w:vAlign w:val="center"/>
          </w:tcPr>
          <w:p w14:paraId="504EFE81" w14:textId="77777777" w:rsidR="00417449" w:rsidRPr="00417449" w:rsidRDefault="00417449" w:rsidP="0035288B">
            <w:pPr>
              <w:jc w:val="center"/>
              <w:rPr>
                <w:rFonts w:cs="Arial"/>
              </w:rPr>
            </w:pPr>
            <w:r w:rsidRPr="00417449">
              <w:rPr>
                <w:rFonts w:cs="Arial"/>
              </w:rPr>
              <w:t>7</w:t>
            </w:r>
          </w:p>
        </w:tc>
        <w:tc>
          <w:tcPr>
            <w:tcW w:w="1512" w:type="dxa"/>
            <w:vAlign w:val="center"/>
          </w:tcPr>
          <w:p w14:paraId="0186869D" w14:textId="77777777" w:rsidR="00417449" w:rsidRPr="00417449" w:rsidRDefault="00417449" w:rsidP="0035288B">
            <w:pPr>
              <w:jc w:val="center"/>
              <w:rPr>
                <w:rFonts w:cs="Arial"/>
              </w:rPr>
            </w:pPr>
            <w:r w:rsidRPr="00417449">
              <w:rPr>
                <w:rFonts w:cs="Arial"/>
              </w:rPr>
              <w:t>0</w:t>
            </w:r>
          </w:p>
        </w:tc>
      </w:tr>
      <w:tr w:rsidR="00417449" w14:paraId="7C0F5EE1" w14:textId="77777777" w:rsidTr="00417449">
        <w:tc>
          <w:tcPr>
            <w:tcW w:w="5949" w:type="dxa"/>
            <w:vAlign w:val="center"/>
          </w:tcPr>
          <w:p w14:paraId="5697EE12" w14:textId="77777777" w:rsidR="00417449" w:rsidRPr="00417449" w:rsidRDefault="00417449" w:rsidP="0035288B">
            <w:pPr>
              <w:rPr>
                <w:rFonts w:cs="Arial"/>
              </w:rPr>
            </w:pPr>
            <w:r w:rsidRPr="00417449">
              <w:rPr>
                <w:rFonts w:cs="Arial"/>
              </w:rPr>
              <w:t>Do you agree that there is a need for additional Special School provision in the West of Surrey to serve children and young people with ASC needs?</w:t>
            </w:r>
          </w:p>
        </w:tc>
        <w:tc>
          <w:tcPr>
            <w:tcW w:w="1512" w:type="dxa"/>
            <w:vAlign w:val="center"/>
          </w:tcPr>
          <w:p w14:paraId="1D950F15" w14:textId="77777777" w:rsidR="00417449" w:rsidRPr="00417449" w:rsidRDefault="00417449" w:rsidP="0035288B">
            <w:pPr>
              <w:jc w:val="center"/>
              <w:rPr>
                <w:rFonts w:cs="Arial"/>
              </w:rPr>
            </w:pPr>
            <w:r w:rsidRPr="00417449">
              <w:rPr>
                <w:rFonts w:cs="Arial"/>
              </w:rPr>
              <w:t>207</w:t>
            </w:r>
          </w:p>
        </w:tc>
        <w:tc>
          <w:tcPr>
            <w:tcW w:w="1512" w:type="dxa"/>
            <w:vAlign w:val="center"/>
          </w:tcPr>
          <w:p w14:paraId="7A704F06" w14:textId="77777777" w:rsidR="00417449" w:rsidRPr="00417449" w:rsidRDefault="00417449" w:rsidP="0035288B">
            <w:pPr>
              <w:jc w:val="center"/>
              <w:rPr>
                <w:rFonts w:cs="Arial"/>
              </w:rPr>
            </w:pPr>
            <w:r w:rsidRPr="00417449">
              <w:rPr>
                <w:rFonts w:cs="Arial"/>
              </w:rPr>
              <w:t>2</w:t>
            </w:r>
          </w:p>
        </w:tc>
        <w:tc>
          <w:tcPr>
            <w:tcW w:w="1512" w:type="dxa"/>
            <w:vAlign w:val="center"/>
          </w:tcPr>
          <w:p w14:paraId="41949470" w14:textId="77777777" w:rsidR="00417449" w:rsidRPr="00417449" w:rsidRDefault="00417449" w:rsidP="0035288B">
            <w:pPr>
              <w:jc w:val="center"/>
              <w:rPr>
                <w:rFonts w:cs="Arial"/>
              </w:rPr>
            </w:pPr>
            <w:r w:rsidRPr="00417449">
              <w:rPr>
                <w:rFonts w:cs="Arial"/>
              </w:rPr>
              <w:t>0</w:t>
            </w:r>
          </w:p>
        </w:tc>
      </w:tr>
    </w:tbl>
    <w:p w14:paraId="5EB1DA53" w14:textId="0CDCCAAA" w:rsidR="00E774AB" w:rsidRDefault="00C0337E" w:rsidP="00B01B81">
      <w:r>
        <w:t>.</w:t>
      </w:r>
    </w:p>
    <w:p w14:paraId="09CA93D9" w14:textId="09FBD853" w:rsidR="00417449" w:rsidRDefault="00417449" w:rsidP="00417449">
      <w:pPr>
        <w:pStyle w:val="Heading3"/>
      </w:pPr>
      <w:r>
        <w:t>Negative Responses and Issues Raised</w:t>
      </w:r>
    </w:p>
    <w:p w14:paraId="3B96AAD9" w14:textId="77777777" w:rsidR="00417449" w:rsidRDefault="00417449" w:rsidP="00417449"/>
    <w:p w14:paraId="74A56E24" w14:textId="14E1B93B" w:rsidR="00417449" w:rsidRDefault="00417449" w:rsidP="00417449">
      <w:r>
        <w:t>As explained above, the vast majority of responses were positive with 99% stating that they agreed there was a need for additional ASD</w:t>
      </w:r>
      <w:r w:rsidR="006B76E3">
        <w:t xml:space="preserve"> designated</w:t>
      </w:r>
      <w:r>
        <w:t xml:space="preserve"> Specialist School places and 97% agreeing there was a need for a new school. Th</w:t>
      </w:r>
      <w:r w:rsidR="006B76E3">
        <w:t xml:space="preserve">e remaining responses </w:t>
      </w:r>
      <w:r>
        <w:t>said they were not sure. The reasons they gave were focused on 4 areas (these are addressed in a separate FAQ document</w:t>
      </w:r>
      <w:r w:rsidR="006B76E3">
        <w:t xml:space="preserve"> – hyperlink in here</w:t>
      </w:r>
      <w:r>
        <w:t>):</w:t>
      </w:r>
    </w:p>
    <w:p w14:paraId="2A113848" w14:textId="77777777" w:rsidR="00417449" w:rsidRDefault="00417449" w:rsidP="00417449"/>
    <w:p w14:paraId="097F4C4C" w14:textId="5DCCCE8C" w:rsidR="00417449" w:rsidRDefault="00417449" w:rsidP="00417449">
      <w:pPr>
        <w:pStyle w:val="ListParagraph"/>
        <w:numPr>
          <w:ilvl w:val="0"/>
          <w:numId w:val="8"/>
        </w:numPr>
      </w:pPr>
      <w:r>
        <w:t>Location – why West Surrey when there was also a need for more provision in the North and the East?</w:t>
      </w:r>
    </w:p>
    <w:p w14:paraId="739EC4C4" w14:textId="77777777" w:rsidR="00417449" w:rsidRDefault="00417449" w:rsidP="00417449"/>
    <w:p w14:paraId="2CEF8625" w14:textId="0088B728" w:rsidR="00417449" w:rsidRDefault="00417449" w:rsidP="00417449">
      <w:pPr>
        <w:pStyle w:val="ListParagraph"/>
        <w:numPr>
          <w:ilvl w:val="0"/>
          <w:numId w:val="8"/>
        </w:numPr>
      </w:pPr>
      <w:r>
        <w:t>Free Schools – concerns raised over why the new school should be a Free School. (The law states that all new schools must be Free Schools).</w:t>
      </w:r>
    </w:p>
    <w:p w14:paraId="7BFA057E" w14:textId="77777777" w:rsidR="00417449" w:rsidRDefault="00417449" w:rsidP="00417449"/>
    <w:p w14:paraId="41B19AA0" w14:textId="328BC18F" w:rsidR="00417449" w:rsidRDefault="00417449" w:rsidP="00417449">
      <w:pPr>
        <w:pStyle w:val="ListParagraph"/>
        <w:numPr>
          <w:ilvl w:val="0"/>
          <w:numId w:val="8"/>
        </w:numPr>
      </w:pPr>
      <w:r>
        <w:t xml:space="preserve">Mainstream inclusion – would more </w:t>
      </w:r>
      <w:r w:rsidR="006B76E3">
        <w:t>SEN Units in mainstream schools</w:t>
      </w:r>
      <w:r>
        <w:t xml:space="preserve"> be better? </w:t>
      </w:r>
    </w:p>
    <w:p w14:paraId="5585BCAC" w14:textId="77777777" w:rsidR="00417449" w:rsidRDefault="00417449" w:rsidP="00417449"/>
    <w:p w14:paraId="0D57886B" w14:textId="26024BB7" w:rsidR="00417449" w:rsidRPr="00B01B81" w:rsidRDefault="00417449" w:rsidP="00417449">
      <w:pPr>
        <w:pStyle w:val="ListParagraph"/>
        <w:numPr>
          <w:ilvl w:val="0"/>
          <w:numId w:val="8"/>
        </w:numPr>
      </w:pPr>
      <w:r>
        <w:t xml:space="preserve">Types of ASD need – </w:t>
      </w:r>
      <w:r w:rsidR="00024C17">
        <w:t xml:space="preserve">whether the new provision would support </w:t>
      </w:r>
      <w:r w:rsidR="00977F5C">
        <w:t xml:space="preserve">autistic </w:t>
      </w:r>
      <w:r w:rsidR="00024C17">
        <w:t xml:space="preserve">children </w:t>
      </w:r>
      <w:r w:rsidR="00977F5C">
        <w:t xml:space="preserve">and those </w:t>
      </w:r>
      <w:r w:rsidR="00024C17">
        <w:t xml:space="preserve">with </w:t>
      </w:r>
      <w:r w:rsidR="00977F5C">
        <w:t>c</w:t>
      </w:r>
      <w:r w:rsidR="00024C17">
        <w:t xml:space="preserve">ommunication </w:t>
      </w:r>
      <w:r w:rsidR="00977F5C">
        <w:t>and</w:t>
      </w:r>
      <w:r w:rsidR="00024C17">
        <w:t xml:space="preserve"> </w:t>
      </w:r>
      <w:r w:rsidR="00977F5C">
        <w:t>i</w:t>
      </w:r>
      <w:r w:rsidR="00024C17">
        <w:t xml:space="preserve">nteraction needs working at broadly </w:t>
      </w:r>
      <w:r w:rsidR="00977F5C">
        <w:t>age-related</w:t>
      </w:r>
      <w:r w:rsidR="00024C17">
        <w:t xml:space="preserve"> expectations, as compared to those with severe or profound and multiple learning difficulties. This is addressed in a separate FAQ document </w:t>
      </w:r>
    </w:p>
    <w:sectPr w:rsidR="00417449" w:rsidRPr="00B01B81" w:rsidSect="00C75C69">
      <w:headerReference w:type="default" r:id="rId11"/>
      <w:footerReference w:type="default" r:id="rId12"/>
      <w:pgSz w:w="11906" w:h="16838"/>
      <w:pgMar w:top="1115" w:right="566" w:bottom="1134"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7CED2" w14:textId="77777777" w:rsidR="00CE71C8" w:rsidRDefault="00CE71C8" w:rsidP="000E1268">
      <w:r>
        <w:separator/>
      </w:r>
    </w:p>
  </w:endnote>
  <w:endnote w:type="continuationSeparator" w:id="0">
    <w:p w14:paraId="6A9F7614" w14:textId="77777777" w:rsidR="00CE71C8" w:rsidRDefault="00CE71C8"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B88A" w14:textId="77777777" w:rsidR="00A60B12" w:rsidRDefault="00A60B12" w:rsidP="00A60B12">
    <w:pPr>
      <w:pStyle w:val="Footer"/>
      <w:jc w:val="right"/>
    </w:pPr>
    <w:r>
      <w:t xml:space="preserve">Page </w:t>
    </w:r>
    <w:sdt>
      <w:sdtPr>
        <w:id w:val="18916094"/>
        <w:docPartObj>
          <w:docPartGallery w:val="Page Numbers (Bottom of Page)"/>
          <w:docPartUnique/>
        </w:docPartObj>
      </w:sdtPr>
      <w:sdtEndPr/>
      <w:sdtContent>
        <w:r w:rsidR="00D34B6A">
          <w:fldChar w:fldCharType="begin"/>
        </w:r>
        <w:r w:rsidR="00C75C69">
          <w:instrText xml:space="preserve"> PAGE   \* MERGEFORMAT </w:instrText>
        </w:r>
        <w:r w:rsidR="00D34B6A">
          <w:fldChar w:fldCharType="separate"/>
        </w:r>
        <w:r w:rsidR="00DB58A7">
          <w:rPr>
            <w:noProof/>
          </w:rPr>
          <w:t>2</w:t>
        </w:r>
        <w:r w:rsidR="00D34B6A">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E7C2" w14:textId="77777777" w:rsidR="00CE71C8" w:rsidRDefault="00CE71C8" w:rsidP="000E1268">
      <w:r>
        <w:separator/>
      </w:r>
    </w:p>
  </w:footnote>
  <w:footnote w:type="continuationSeparator" w:id="0">
    <w:p w14:paraId="1112AA7C" w14:textId="77777777" w:rsidR="00CE71C8" w:rsidRDefault="00CE71C8"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BE4D" w14:textId="15E903CC" w:rsidR="00A60B12" w:rsidRDefault="004A7D69" w:rsidP="00A60B12">
    <w:pPr>
      <w:pStyle w:val="Header"/>
      <w:jc w:val="right"/>
    </w:pPr>
    <w:r>
      <w:t>LA Consultation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0B1A"/>
    <w:multiLevelType w:val="hybridMultilevel"/>
    <w:tmpl w:val="273A24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890DC2"/>
    <w:multiLevelType w:val="hybridMultilevel"/>
    <w:tmpl w:val="0FF0DF00"/>
    <w:lvl w:ilvl="0" w:tplc="04090001">
      <w:start w:val="1"/>
      <w:numFmt w:val="bullet"/>
      <w:lvlText w:val=""/>
      <w:lvlJc w:val="left"/>
      <w:pPr>
        <w:ind w:left="7099" w:hanging="360"/>
      </w:pPr>
      <w:rPr>
        <w:rFonts w:ascii="Symbol" w:hAnsi="Symbol" w:hint="default"/>
      </w:rPr>
    </w:lvl>
    <w:lvl w:ilvl="1" w:tplc="04090003" w:tentative="1">
      <w:start w:val="1"/>
      <w:numFmt w:val="bullet"/>
      <w:lvlText w:val="o"/>
      <w:lvlJc w:val="left"/>
      <w:pPr>
        <w:ind w:left="7819" w:hanging="360"/>
      </w:pPr>
      <w:rPr>
        <w:rFonts w:ascii="Courier New" w:hAnsi="Courier New" w:hint="default"/>
      </w:rPr>
    </w:lvl>
    <w:lvl w:ilvl="2" w:tplc="04090005" w:tentative="1">
      <w:start w:val="1"/>
      <w:numFmt w:val="bullet"/>
      <w:lvlText w:val=""/>
      <w:lvlJc w:val="left"/>
      <w:pPr>
        <w:ind w:left="8539" w:hanging="360"/>
      </w:pPr>
      <w:rPr>
        <w:rFonts w:ascii="Wingdings" w:hAnsi="Wingdings" w:hint="default"/>
      </w:rPr>
    </w:lvl>
    <w:lvl w:ilvl="3" w:tplc="04090001" w:tentative="1">
      <w:start w:val="1"/>
      <w:numFmt w:val="bullet"/>
      <w:lvlText w:val=""/>
      <w:lvlJc w:val="left"/>
      <w:pPr>
        <w:ind w:left="9259" w:hanging="360"/>
      </w:pPr>
      <w:rPr>
        <w:rFonts w:ascii="Symbol" w:hAnsi="Symbol" w:hint="default"/>
      </w:rPr>
    </w:lvl>
    <w:lvl w:ilvl="4" w:tplc="04090003" w:tentative="1">
      <w:start w:val="1"/>
      <w:numFmt w:val="bullet"/>
      <w:lvlText w:val="o"/>
      <w:lvlJc w:val="left"/>
      <w:pPr>
        <w:ind w:left="9979" w:hanging="360"/>
      </w:pPr>
      <w:rPr>
        <w:rFonts w:ascii="Courier New" w:hAnsi="Courier New" w:hint="default"/>
      </w:rPr>
    </w:lvl>
    <w:lvl w:ilvl="5" w:tplc="04090005" w:tentative="1">
      <w:start w:val="1"/>
      <w:numFmt w:val="bullet"/>
      <w:lvlText w:val=""/>
      <w:lvlJc w:val="left"/>
      <w:pPr>
        <w:ind w:left="10699" w:hanging="360"/>
      </w:pPr>
      <w:rPr>
        <w:rFonts w:ascii="Wingdings" w:hAnsi="Wingdings" w:hint="default"/>
      </w:rPr>
    </w:lvl>
    <w:lvl w:ilvl="6" w:tplc="04090001" w:tentative="1">
      <w:start w:val="1"/>
      <w:numFmt w:val="bullet"/>
      <w:lvlText w:val=""/>
      <w:lvlJc w:val="left"/>
      <w:pPr>
        <w:ind w:left="11419" w:hanging="360"/>
      </w:pPr>
      <w:rPr>
        <w:rFonts w:ascii="Symbol" w:hAnsi="Symbol" w:hint="default"/>
      </w:rPr>
    </w:lvl>
    <w:lvl w:ilvl="7" w:tplc="04090003" w:tentative="1">
      <w:start w:val="1"/>
      <w:numFmt w:val="bullet"/>
      <w:lvlText w:val="o"/>
      <w:lvlJc w:val="left"/>
      <w:pPr>
        <w:ind w:left="12139" w:hanging="360"/>
      </w:pPr>
      <w:rPr>
        <w:rFonts w:ascii="Courier New" w:hAnsi="Courier New" w:hint="default"/>
      </w:rPr>
    </w:lvl>
    <w:lvl w:ilvl="8" w:tplc="04090005" w:tentative="1">
      <w:start w:val="1"/>
      <w:numFmt w:val="bullet"/>
      <w:lvlText w:val=""/>
      <w:lvlJc w:val="left"/>
      <w:pPr>
        <w:ind w:left="12859" w:hanging="360"/>
      </w:pPr>
      <w:rPr>
        <w:rFonts w:ascii="Wingdings" w:hAnsi="Wingdings" w:hint="default"/>
      </w:rPr>
    </w:lvl>
  </w:abstractNum>
  <w:abstractNum w:abstractNumId="2"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D50FD"/>
    <w:multiLevelType w:val="hybridMultilevel"/>
    <w:tmpl w:val="19760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10EBE"/>
    <w:rsid w:val="00024C17"/>
    <w:rsid w:val="00041B45"/>
    <w:rsid w:val="000D6962"/>
    <w:rsid w:val="000E1268"/>
    <w:rsid w:val="00106F5B"/>
    <w:rsid w:val="00114EC4"/>
    <w:rsid w:val="001552CC"/>
    <w:rsid w:val="00197C69"/>
    <w:rsid w:val="00211750"/>
    <w:rsid w:val="00221375"/>
    <w:rsid w:val="0028671A"/>
    <w:rsid w:val="002D37DA"/>
    <w:rsid w:val="00307F69"/>
    <w:rsid w:val="00355C2A"/>
    <w:rsid w:val="00364947"/>
    <w:rsid w:val="003E60C8"/>
    <w:rsid w:val="00417449"/>
    <w:rsid w:val="004205E0"/>
    <w:rsid w:val="00437370"/>
    <w:rsid w:val="004A7D69"/>
    <w:rsid w:val="004E39F0"/>
    <w:rsid w:val="00536C62"/>
    <w:rsid w:val="00561E43"/>
    <w:rsid w:val="00587ABB"/>
    <w:rsid w:val="006047AC"/>
    <w:rsid w:val="006155E0"/>
    <w:rsid w:val="00685182"/>
    <w:rsid w:val="006A44E7"/>
    <w:rsid w:val="006B76E3"/>
    <w:rsid w:val="00704552"/>
    <w:rsid w:val="00761286"/>
    <w:rsid w:val="007713F1"/>
    <w:rsid w:val="008D70FD"/>
    <w:rsid w:val="00956621"/>
    <w:rsid w:val="00977F5C"/>
    <w:rsid w:val="009B4FC7"/>
    <w:rsid w:val="00A040F2"/>
    <w:rsid w:val="00A32BCF"/>
    <w:rsid w:val="00A5187B"/>
    <w:rsid w:val="00A60B12"/>
    <w:rsid w:val="00AB4C38"/>
    <w:rsid w:val="00AE397C"/>
    <w:rsid w:val="00B01B81"/>
    <w:rsid w:val="00B17D47"/>
    <w:rsid w:val="00BF4EDB"/>
    <w:rsid w:val="00C0337E"/>
    <w:rsid w:val="00C37913"/>
    <w:rsid w:val="00C75C69"/>
    <w:rsid w:val="00CE2868"/>
    <w:rsid w:val="00CE71C8"/>
    <w:rsid w:val="00CF516F"/>
    <w:rsid w:val="00D211B0"/>
    <w:rsid w:val="00D30FA2"/>
    <w:rsid w:val="00D34B6A"/>
    <w:rsid w:val="00D91074"/>
    <w:rsid w:val="00DB58A7"/>
    <w:rsid w:val="00DC1AA6"/>
    <w:rsid w:val="00DC5C3F"/>
    <w:rsid w:val="00E65EF8"/>
    <w:rsid w:val="00E774AB"/>
    <w:rsid w:val="00E85C63"/>
    <w:rsid w:val="00E94A0B"/>
    <w:rsid w:val="00EE09D2"/>
    <w:rsid w:val="00F67F51"/>
    <w:rsid w:val="00F90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186e3f" stroke="f">
      <v:fill color="#186e3f"/>
      <v:stroke on="f"/>
    </o:shapedefaults>
    <o:shapelayout v:ext="edit">
      <o:idmap v:ext="edit" data="1"/>
    </o:shapelayout>
  </w:shapeDefaults>
  <w:decimalSymbol w:val="."/>
  <w:listSeparator w:val=","/>
  <w14:docId w14:val="76CCE5D3"/>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B"/>
    <w:pPr>
      <w:spacing w:after="0" w:line="240" w:lineRule="auto"/>
    </w:pPr>
    <w:rPr>
      <w:rFonts w:ascii="Arial" w:hAnsi="Arial"/>
      <w:sz w:val="24"/>
    </w:rPr>
  </w:style>
  <w:style w:type="paragraph" w:styleId="Heading1">
    <w:name w:val="heading 1"/>
    <w:basedOn w:val="Normal"/>
    <w:next w:val="Normal"/>
    <w:link w:val="Heading1Char"/>
    <w:uiPriority w:val="9"/>
    <w:qFormat/>
    <w:rsid w:val="00CE2868"/>
    <w:pPr>
      <w:keepNext/>
      <w:keepLines/>
      <w:spacing w:after="200"/>
      <w:outlineLvl w:val="0"/>
    </w:pPr>
    <w:rPr>
      <w:rFonts w:eastAsiaTheme="majorEastAsia" w:cstheme="majorBidi"/>
      <w:bCs/>
      <w:color w:val="054C34"/>
      <w:sz w:val="80"/>
      <w:szCs w:val="80"/>
    </w:rPr>
  </w:style>
  <w:style w:type="paragraph" w:styleId="Heading2">
    <w:name w:val="heading 2"/>
    <w:basedOn w:val="Normal"/>
    <w:next w:val="Normal"/>
    <w:link w:val="Heading2Char"/>
    <w:uiPriority w:val="9"/>
    <w:qFormat/>
    <w:rsid w:val="00CE2868"/>
    <w:pPr>
      <w:keepNext/>
      <w:keepLines/>
      <w:spacing w:after="200"/>
      <w:outlineLvl w:val="1"/>
    </w:pPr>
    <w:rPr>
      <w:rFonts w:eastAsiaTheme="majorEastAsia" w:cstheme="majorBidi"/>
      <w:b/>
      <w:bCs/>
      <w:color w:val="000000" w:themeColor="text1"/>
      <w:sz w:val="36"/>
      <w:szCs w:val="40"/>
    </w:rPr>
  </w:style>
  <w:style w:type="paragraph" w:styleId="Heading3">
    <w:name w:val="heading 3"/>
    <w:basedOn w:val="Normal"/>
    <w:next w:val="Normal"/>
    <w:link w:val="Heading3Char"/>
    <w:uiPriority w:val="9"/>
    <w:qFormat/>
    <w:rsid w:val="00CE2868"/>
    <w:pPr>
      <w:keepNext/>
      <w:keepLines/>
      <w:spacing w:before="40"/>
      <w:outlineLvl w:val="2"/>
    </w:pPr>
    <w:rPr>
      <w:rFonts w:eastAsiaTheme="majorEastAsia" w:cs="Arial"/>
      <w:b/>
      <w:color w:val="000000" w:themeColor="text1"/>
      <w:sz w:val="28"/>
      <w:szCs w:val="24"/>
    </w:rPr>
  </w:style>
  <w:style w:type="paragraph" w:styleId="Heading4">
    <w:name w:val="heading 4"/>
    <w:basedOn w:val="Normal"/>
    <w:next w:val="Normal"/>
    <w:link w:val="Heading4Char"/>
    <w:uiPriority w:val="9"/>
    <w:qFormat/>
    <w:rsid w:val="00F67F5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BF4EDB"/>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BF4EDB"/>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BF4EDB"/>
    <w:rPr>
      <w:rFonts w:ascii="Arial" w:hAnsi="Arial"/>
      <w:sz w:val="24"/>
    </w:rPr>
  </w:style>
  <w:style w:type="character" w:customStyle="1" w:styleId="Heading1Char">
    <w:name w:val="Heading 1 Char"/>
    <w:basedOn w:val="DefaultParagraphFont"/>
    <w:link w:val="Heading1"/>
    <w:uiPriority w:val="9"/>
    <w:rsid w:val="00CE2868"/>
    <w:rPr>
      <w:rFonts w:ascii="Arial" w:eastAsiaTheme="majorEastAsia" w:hAnsi="Arial" w:cstheme="majorBidi"/>
      <w:bCs/>
      <w:color w:val="054C34"/>
      <w:sz w:val="80"/>
      <w:szCs w:val="80"/>
    </w:rPr>
  </w:style>
  <w:style w:type="character" w:customStyle="1" w:styleId="Heading2Char">
    <w:name w:val="Heading 2 Char"/>
    <w:basedOn w:val="DefaultParagraphFont"/>
    <w:link w:val="Heading2"/>
    <w:uiPriority w:val="9"/>
    <w:rsid w:val="00EE09D2"/>
    <w:rPr>
      <w:rFonts w:ascii="Arial" w:eastAsiaTheme="majorEastAsia" w:hAnsi="Arial" w:cstheme="majorBidi"/>
      <w:b/>
      <w:bCs/>
      <w:color w:val="000000" w:themeColor="text1"/>
      <w:sz w:val="36"/>
      <w:szCs w:val="40"/>
    </w:rPr>
  </w:style>
  <w:style w:type="paragraph" w:styleId="ListParagraph">
    <w:name w:val="List Paragraph"/>
    <w:basedOn w:val="Normal"/>
    <w:uiPriority w:val="34"/>
    <w:qFormat/>
    <w:rsid w:val="0028671A"/>
    <w:pPr>
      <w:numPr>
        <w:numId w:val="3"/>
      </w:numPr>
      <w:ind w:left="0" w:firstLine="340"/>
      <w:contextualSpacing/>
    </w:pPr>
  </w:style>
  <w:style w:type="character" w:styleId="Hyperlink">
    <w:name w:val="Hyperlink"/>
    <w:basedOn w:val="DefaultParagraphFont"/>
    <w:uiPriority w:val="99"/>
    <w:rsid w:val="002D37DA"/>
    <w:rPr>
      <w:color w:val="0000FF" w:themeColor="hyperlink"/>
      <w:u w:val="single"/>
    </w:rPr>
  </w:style>
  <w:style w:type="character" w:styleId="FollowedHyperlink">
    <w:name w:val="FollowedHyperlink"/>
    <w:basedOn w:val="DefaultParagraphFont"/>
    <w:uiPriority w:val="99"/>
    <w:semiHidden/>
    <w:rsid w:val="002D37DA"/>
    <w:rPr>
      <w:color w:val="800080" w:themeColor="followedHyperlink"/>
      <w:u w:val="single"/>
    </w:rPr>
  </w:style>
  <w:style w:type="character" w:customStyle="1" w:styleId="Heading3Char">
    <w:name w:val="Heading 3 Char"/>
    <w:basedOn w:val="DefaultParagraphFont"/>
    <w:link w:val="Heading3"/>
    <w:uiPriority w:val="9"/>
    <w:rsid w:val="00EE09D2"/>
    <w:rPr>
      <w:rFonts w:ascii="Arial" w:eastAsiaTheme="majorEastAsia" w:hAnsi="Arial" w:cs="Arial"/>
      <w:b/>
      <w:color w:val="000000" w:themeColor="text1"/>
      <w:sz w:val="28"/>
      <w:szCs w:val="24"/>
    </w:rPr>
  </w:style>
  <w:style w:type="character" w:customStyle="1" w:styleId="Heading4Char">
    <w:name w:val="Heading 4 Char"/>
    <w:basedOn w:val="DefaultParagraphFont"/>
    <w:link w:val="Heading4"/>
    <w:uiPriority w:val="9"/>
    <w:rsid w:val="00F67F51"/>
    <w:rPr>
      <w:rFonts w:ascii="Arial" w:hAnsi="Arial"/>
      <w:b/>
      <w:sz w:val="24"/>
    </w:rPr>
  </w:style>
  <w:style w:type="paragraph" w:styleId="Subtitle">
    <w:name w:val="Subtitle"/>
    <w:basedOn w:val="Normal"/>
    <w:next w:val="Normal"/>
    <w:link w:val="SubtitleChar"/>
    <w:uiPriority w:val="11"/>
    <w:semiHidden/>
    <w:rsid w:val="00EE09D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E09D2"/>
    <w:rPr>
      <w:rFonts w:eastAsiaTheme="minorEastAsia"/>
      <w:color w:val="5A5A5A" w:themeColor="text1" w:themeTint="A5"/>
      <w:spacing w:val="15"/>
    </w:rPr>
  </w:style>
  <w:style w:type="table" w:styleId="TableGrid">
    <w:name w:val="Table Grid"/>
    <w:basedOn w:val="TableNormal"/>
    <w:uiPriority w:val="39"/>
    <w:rsid w:val="00E9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B76E3"/>
    <w:rPr>
      <w:sz w:val="16"/>
      <w:szCs w:val="16"/>
    </w:rPr>
  </w:style>
  <w:style w:type="paragraph" w:styleId="CommentText">
    <w:name w:val="annotation text"/>
    <w:basedOn w:val="Normal"/>
    <w:link w:val="CommentTextChar"/>
    <w:uiPriority w:val="99"/>
    <w:semiHidden/>
    <w:rsid w:val="006B76E3"/>
    <w:rPr>
      <w:sz w:val="20"/>
      <w:szCs w:val="20"/>
    </w:rPr>
  </w:style>
  <w:style w:type="character" w:customStyle="1" w:styleId="CommentTextChar">
    <w:name w:val="Comment Text Char"/>
    <w:basedOn w:val="DefaultParagraphFont"/>
    <w:link w:val="CommentText"/>
    <w:uiPriority w:val="99"/>
    <w:semiHidden/>
    <w:rsid w:val="006B76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76E3"/>
    <w:rPr>
      <w:b/>
      <w:bCs/>
    </w:rPr>
  </w:style>
  <w:style w:type="character" w:customStyle="1" w:styleId="CommentSubjectChar">
    <w:name w:val="Comment Subject Char"/>
    <w:basedOn w:val="CommentTextChar"/>
    <w:link w:val="CommentSubject"/>
    <w:uiPriority w:val="99"/>
    <w:semiHidden/>
    <w:rsid w:val="006B76E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surreycc.gov.uk/schools-and-learning/schools/admissions/child-with-a-ehc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58-4C1F-8DF4-6F223D2E06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58-4C1F-8DF4-6F223D2E064C}"/>
              </c:ext>
            </c:extLst>
          </c:dPt>
          <c:dPt>
            <c:idx val="2"/>
            <c:bubble3D val="0"/>
            <c:spPr>
              <a:solidFill>
                <a:srgbClr val="00B050"/>
              </a:solidFill>
              <a:ln w="19050">
                <a:solidFill>
                  <a:schemeClr val="lt1"/>
                </a:solidFill>
              </a:ln>
              <a:effectLst/>
            </c:spPr>
            <c:extLst>
              <c:ext xmlns:c16="http://schemas.microsoft.com/office/drawing/2014/chart" uri="{C3380CC4-5D6E-409C-BE32-E72D297353CC}">
                <c16:uniqueId val="{00000005-CC58-4C1F-8DF4-6F223D2E06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58-4C1F-8DF4-6F223D2E064C}"/>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CC58-4C1F-8DF4-6F223D2E064C}"/>
              </c:ext>
            </c:extLst>
          </c:dPt>
          <c:cat>
            <c:strRef>
              <c:f>Sheet1!$A$2:$A$6</c:f>
              <c:strCache>
                <c:ptCount val="5"/>
                <c:pt idx="0">
                  <c:v>Parents</c:v>
                </c:pt>
                <c:pt idx="1">
                  <c:v>Education Professionals</c:v>
                </c:pt>
                <c:pt idx="2">
                  <c:v>Residents</c:v>
                </c:pt>
                <c:pt idx="3">
                  <c:v>Other Family Members</c:v>
                </c:pt>
                <c:pt idx="4">
                  <c:v>Other</c:v>
                </c:pt>
              </c:strCache>
            </c:strRef>
          </c:cat>
          <c:val>
            <c:numRef>
              <c:f>Sheet1!$B$2:$B$6</c:f>
              <c:numCache>
                <c:formatCode>0%</c:formatCode>
                <c:ptCount val="5"/>
                <c:pt idx="0">
                  <c:v>0.65</c:v>
                </c:pt>
                <c:pt idx="1">
                  <c:v>0.17</c:v>
                </c:pt>
                <c:pt idx="2">
                  <c:v>7.0000000000000007E-2</c:v>
                </c:pt>
                <c:pt idx="3">
                  <c:v>0.04</c:v>
                </c:pt>
                <c:pt idx="4">
                  <c:v>7.0000000000000007E-2</c:v>
                </c:pt>
              </c:numCache>
            </c:numRef>
          </c:val>
          <c:extLst>
            <c:ext xmlns:c16="http://schemas.microsoft.com/office/drawing/2014/chart" uri="{C3380CC4-5D6E-409C-BE32-E72D297353CC}">
              <c16:uniqueId val="{0000000A-CC58-4C1F-8DF4-6F223D2E064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69EBA-C5CC-4B15-8B78-4E78695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Peter Speers</cp:lastModifiedBy>
  <cp:revision>2</cp:revision>
  <cp:lastPrinted>2020-01-16T09:02:00Z</cp:lastPrinted>
  <dcterms:created xsi:type="dcterms:W3CDTF">2022-01-24T14:47:00Z</dcterms:created>
  <dcterms:modified xsi:type="dcterms:W3CDTF">2022-01-24T14:47:00Z</dcterms:modified>
</cp:coreProperties>
</file>