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46A8" w14:textId="77777777" w:rsidR="002B243F" w:rsidRPr="002B243F" w:rsidRDefault="002B243F" w:rsidP="002B243F">
      <w:pPr>
        <w:widowControl/>
        <w:shd w:val="clear" w:color="auto" w:fill="FFFFFF"/>
        <w:autoSpaceDE/>
        <w:autoSpaceDN/>
        <w:spacing w:before="360" w:line="540" w:lineRule="atLeast"/>
        <w:jc w:val="center"/>
        <w:outlineLvl w:val="0"/>
        <w:rPr>
          <w:rFonts w:ascii="Lato" w:eastAsia="Times New Roman" w:hAnsi="Lato" w:cs="Times New Roman"/>
          <w:color w:val="333333"/>
          <w:kern w:val="36"/>
          <w:sz w:val="42"/>
          <w:szCs w:val="42"/>
          <w:lang w:eastAsia="en-GB"/>
        </w:rPr>
      </w:pPr>
      <w:r w:rsidRPr="002B243F">
        <w:rPr>
          <w:rFonts w:ascii="Lato" w:eastAsia="Times New Roman" w:hAnsi="Lato" w:cs="Times New Roman"/>
          <w:color w:val="333333"/>
          <w:kern w:val="36"/>
          <w:sz w:val="42"/>
          <w:szCs w:val="42"/>
          <w:lang w:eastAsia="en-GB"/>
        </w:rPr>
        <w:t>Your Voice, Your Future East Surrey</w:t>
      </w:r>
    </w:p>
    <w:p w14:paraId="515F31DB" w14:textId="0BC628D4" w:rsidR="00232C64" w:rsidRPr="00617FDE" w:rsidRDefault="00C21E1A" w:rsidP="00617FDE">
      <w:pPr>
        <w:pStyle w:val="Title"/>
        <w:spacing w:line="376" w:lineRule="auto"/>
        <w:ind w:left="0" w:right="36"/>
        <w:rPr>
          <w:sz w:val="36"/>
          <w:szCs w:val="36"/>
        </w:rPr>
      </w:pPr>
      <w:r w:rsidRPr="00617FDE">
        <w:rPr>
          <w:color w:val="212121"/>
          <w:sz w:val="36"/>
          <w:szCs w:val="36"/>
        </w:rPr>
        <w:t>Prize Draw</w:t>
      </w:r>
    </w:p>
    <w:p w14:paraId="4C0870AE" w14:textId="77777777" w:rsidR="00232C64" w:rsidRDefault="00C21E1A">
      <w:pPr>
        <w:spacing w:before="3"/>
        <w:ind w:left="1270" w:right="1288"/>
        <w:jc w:val="center"/>
        <w:rPr>
          <w:b/>
          <w:sz w:val="36"/>
        </w:rPr>
      </w:pPr>
      <w:r>
        <w:rPr>
          <w:b/>
          <w:color w:val="212121"/>
          <w:sz w:val="40"/>
        </w:rPr>
        <w:t>T</w:t>
      </w:r>
      <w:r>
        <w:rPr>
          <w:b/>
          <w:color w:val="212121"/>
          <w:sz w:val="36"/>
        </w:rPr>
        <w:t>erms and conditions</w:t>
      </w:r>
    </w:p>
    <w:p w14:paraId="7AD7A00B" w14:textId="77777777" w:rsidR="00232C64" w:rsidRDefault="00232C64">
      <w:pPr>
        <w:pStyle w:val="BodyText"/>
        <w:spacing w:before="10" w:after="1"/>
        <w:ind w:left="0" w:firstLine="0"/>
        <w:jc w:val="left"/>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232C64" w14:paraId="40BEBCB5" w14:textId="77777777">
        <w:trPr>
          <w:trHeight w:val="268"/>
        </w:trPr>
        <w:tc>
          <w:tcPr>
            <w:tcW w:w="2405" w:type="dxa"/>
          </w:tcPr>
          <w:p w14:paraId="3D23C839" w14:textId="77777777" w:rsidR="00232C64" w:rsidRDefault="00C21E1A">
            <w:pPr>
              <w:pStyle w:val="TableParagraph"/>
              <w:ind w:left="107"/>
              <w:rPr>
                <w:b/>
              </w:rPr>
            </w:pPr>
            <w:r>
              <w:rPr>
                <w:b/>
                <w:color w:val="212121"/>
              </w:rPr>
              <w:t>Start Date:</w:t>
            </w:r>
          </w:p>
        </w:tc>
        <w:tc>
          <w:tcPr>
            <w:tcW w:w="6614" w:type="dxa"/>
          </w:tcPr>
          <w:p w14:paraId="20C500DC" w14:textId="3E0396FD" w:rsidR="00232C64" w:rsidRDefault="002B243F">
            <w:pPr>
              <w:pStyle w:val="TableParagraph"/>
            </w:pPr>
            <w:r>
              <w:rPr>
                <w:color w:val="212121"/>
              </w:rPr>
              <w:t>Wednesday</w:t>
            </w:r>
            <w:r w:rsidR="0084456A">
              <w:rPr>
                <w:color w:val="212121"/>
              </w:rPr>
              <w:t xml:space="preserve"> </w:t>
            </w:r>
            <w:r>
              <w:rPr>
                <w:color w:val="212121"/>
              </w:rPr>
              <w:t>2</w:t>
            </w:r>
            <w:r w:rsidR="006F3988">
              <w:rPr>
                <w:color w:val="212121"/>
              </w:rPr>
              <w:t>8</w:t>
            </w:r>
            <w:r w:rsidR="0084456A" w:rsidRPr="0084456A">
              <w:rPr>
                <w:color w:val="212121"/>
                <w:vertAlign w:val="superscript"/>
              </w:rPr>
              <w:t>th</w:t>
            </w:r>
            <w:r w:rsidR="0084456A">
              <w:rPr>
                <w:color w:val="212121"/>
              </w:rPr>
              <w:t xml:space="preserve"> </w:t>
            </w:r>
            <w:r>
              <w:rPr>
                <w:color w:val="212121"/>
              </w:rPr>
              <w:t>February 2024</w:t>
            </w:r>
          </w:p>
        </w:tc>
      </w:tr>
      <w:tr w:rsidR="00232C64" w14:paraId="16BCA36F" w14:textId="77777777">
        <w:trPr>
          <w:trHeight w:val="268"/>
        </w:trPr>
        <w:tc>
          <w:tcPr>
            <w:tcW w:w="2405" w:type="dxa"/>
          </w:tcPr>
          <w:p w14:paraId="705A3BDA" w14:textId="77777777" w:rsidR="00232C64" w:rsidRDefault="00C21E1A">
            <w:pPr>
              <w:pStyle w:val="TableParagraph"/>
              <w:ind w:left="107"/>
              <w:rPr>
                <w:b/>
              </w:rPr>
            </w:pPr>
            <w:r>
              <w:rPr>
                <w:b/>
                <w:color w:val="212121"/>
              </w:rPr>
              <w:t>Closing Date:</w:t>
            </w:r>
          </w:p>
        </w:tc>
        <w:tc>
          <w:tcPr>
            <w:tcW w:w="6614" w:type="dxa"/>
          </w:tcPr>
          <w:p w14:paraId="50B6FAB4" w14:textId="6B870072" w:rsidR="00232C64" w:rsidRDefault="002B243F">
            <w:pPr>
              <w:pStyle w:val="TableParagraph"/>
            </w:pPr>
            <w:r>
              <w:rPr>
                <w:color w:val="212121"/>
              </w:rPr>
              <w:t>Friday 31</w:t>
            </w:r>
            <w:r w:rsidRPr="002B243F">
              <w:rPr>
                <w:color w:val="212121"/>
                <w:vertAlign w:val="superscript"/>
              </w:rPr>
              <w:t>st</w:t>
            </w:r>
            <w:r>
              <w:rPr>
                <w:color w:val="212121"/>
              </w:rPr>
              <w:t xml:space="preserve"> May</w:t>
            </w:r>
            <w:r w:rsidR="0084456A">
              <w:rPr>
                <w:color w:val="212121"/>
              </w:rPr>
              <w:t xml:space="preserve"> </w:t>
            </w:r>
            <w:r w:rsidR="00C21E1A">
              <w:rPr>
                <w:color w:val="212121"/>
              </w:rPr>
              <w:t>202</w:t>
            </w:r>
            <w:r w:rsidR="006F3988">
              <w:rPr>
                <w:color w:val="212121"/>
              </w:rPr>
              <w:t>4</w:t>
            </w:r>
            <w:r w:rsidR="0084456A">
              <w:rPr>
                <w:color w:val="212121"/>
              </w:rPr>
              <w:t xml:space="preserve"> (midnight)</w:t>
            </w:r>
          </w:p>
        </w:tc>
      </w:tr>
      <w:tr w:rsidR="00232C64" w14:paraId="449DC003" w14:textId="77777777">
        <w:trPr>
          <w:trHeight w:val="537"/>
        </w:trPr>
        <w:tc>
          <w:tcPr>
            <w:tcW w:w="2405" w:type="dxa"/>
          </w:tcPr>
          <w:p w14:paraId="5DD69D35" w14:textId="77777777" w:rsidR="00232C64" w:rsidRDefault="00C21E1A">
            <w:pPr>
              <w:pStyle w:val="TableParagraph"/>
              <w:spacing w:before="1" w:line="240" w:lineRule="auto"/>
              <w:ind w:left="107"/>
              <w:rPr>
                <w:b/>
              </w:rPr>
            </w:pPr>
            <w:r>
              <w:rPr>
                <w:b/>
                <w:color w:val="212121"/>
              </w:rPr>
              <w:t>Entrants:</w:t>
            </w:r>
          </w:p>
        </w:tc>
        <w:tc>
          <w:tcPr>
            <w:tcW w:w="6614" w:type="dxa"/>
          </w:tcPr>
          <w:p w14:paraId="0D59E9D3" w14:textId="47AAC272" w:rsidR="00232C64" w:rsidRDefault="00C21E1A">
            <w:pPr>
              <w:pStyle w:val="TableParagraph"/>
              <w:spacing w:before="1" w:line="267" w:lineRule="exact"/>
            </w:pPr>
            <w:r>
              <w:rPr>
                <w:color w:val="212121"/>
              </w:rPr>
              <w:t>UK residents aged 1</w:t>
            </w:r>
            <w:r w:rsidR="002B243F">
              <w:rPr>
                <w:color w:val="212121"/>
              </w:rPr>
              <w:t>1</w:t>
            </w:r>
            <w:r>
              <w:rPr>
                <w:color w:val="212121"/>
              </w:rPr>
              <w:t xml:space="preserve"> years or over, except employees of the</w:t>
            </w:r>
            <w:r>
              <w:rPr>
                <w:color w:val="212121"/>
                <w:spacing w:val="-18"/>
              </w:rPr>
              <w:t xml:space="preserve"> </w:t>
            </w:r>
            <w:r w:rsidR="006F3531">
              <w:rPr>
                <w:color w:val="212121"/>
              </w:rPr>
              <w:t>Promoter.</w:t>
            </w:r>
          </w:p>
          <w:p w14:paraId="4D6C08E3" w14:textId="7297C0D7" w:rsidR="00232C64" w:rsidRDefault="00C21E1A">
            <w:pPr>
              <w:pStyle w:val="TableParagraph"/>
            </w:pPr>
            <w:r>
              <w:rPr>
                <w:color w:val="212121"/>
              </w:rPr>
              <w:t>or anyone directly associated with the administration of the Prize</w:t>
            </w:r>
            <w:r>
              <w:rPr>
                <w:color w:val="212121"/>
                <w:spacing w:val="-13"/>
              </w:rPr>
              <w:t xml:space="preserve"> </w:t>
            </w:r>
            <w:r>
              <w:rPr>
                <w:color w:val="212121"/>
              </w:rPr>
              <w:t>draw</w:t>
            </w:r>
          </w:p>
        </w:tc>
      </w:tr>
      <w:tr w:rsidR="00232C64" w14:paraId="33E8CB54" w14:textId="77777777">
        <w:trPr>
          <w:trHeight w:val="537"/>
        </w:trPr>
        <w:tc>
          <w:tcPr>
            <w:tcW w:w="2405" w:type="dxa"/>
          </w:tcPr>
          <w:p w14:paraId="72DBFADE" w14:textId="77777777" w:rsidR="00232C64" w:rsidRDefault="00C21E1A">
            <w:pPr>
              <w:pStyle w:val="TableParagraph"/>
              <w:spacing w:before="1" w:line="240" w:lineRule="auto"/>
              <w:ind w:left="107"/>
              <w:rPr>
                <w:b/>
              </w:rPr>
            </w:pPr>
            <w:r>
              <w:rPr>
                <w:b/>
                <w:color w:val="212121"/>
              </w:rPr>
              <w:t>Promoter:</w:t>
            </w:r>
          </w:p>
        </w:tc>
        <w:tc>
          <w:tcPr>
            <w:tcW w:w="6614" w:type="dxa"/>
          </w:tcPr>
          <w:p w14:paraId="756EBA2A" w14:textId="5CF47646" w:rsidR="00232C64" w:rsidRDefault="00C21E1A" w:rsidP="006004A4">
            <w:pPr>
              <w:pStyle w:val="TableParagraph"/>
              <w:spacing w:before="1" w:line="267" w:lineRule="exact"/>
            </w:pPr>
            <w:r>
              <w:rPr>
                <w:color w:val="212121"/>
              </w:rPr>
              <w:t xml:space="preserve">Surrey County Council, Woodhatch Place, </w:t>
            </w:r>
            <w:r w:rsidR="006004A4">
              <w:rPr>
                <w:color w:val="212121"/>
              </w:rPr>
              <w:t xml:space="preserve">          </w:t>
            </w:r>
            <w:r>
              <w:rPr>
                <w:color w:val="212121"/>
              </w:rPr>
              <w:t>11</w:t>
            </w:r>
            <w:r w:rsidR="006004A4">
              <w:rPr>
                <w:color w:val="212121"/>
              </w:rPr>
              <w:t xml:space="preserve"> </w:t>
            </w:r>
            <w:r>
              <w:rPr>
                <w:color w:val="212121"/>
              </w:rPr>
              <w:t>Cockshot Hill, Reigate, Surrey RH2 8EF</w:t>
            </w:r>
          </w:p>
        </w:tc>
      </w:tr>
      <w:tr w:rsidR="00232C64" w14:paraId="6B8C4EF0" w14:textId="77777777">
        <w:trPr>
          <w:trHeight w:val="806"/>
        </w:trPr>
        <w:tc>
          <w:tcPr>
            <w:tcW w:w="2405" w:type="dxa"/>
          </w:tcPr>
          <w:p w14:paraId="04CD28EA" w14:textId="77777777" w:rsidR="00232C64" w:rsidRDefault="00C21E1A">
            <w:pPr>
              <w:pStyle w:val="TableParagraph"/>
              <w:spacing w:line="268" w:lineRule="exact"/>
              <w:ind w:left="107"/>
              <w:rPr>
                <w:b/>
              </w:rPr>
            </w:pPr>
            <w:r>
              <w:rPr>
                <w:b/>
                <w:color w:val="212121"/>
              </w:rPr>
              <w:t>How to enter:</w:t>
            </w:r>
          </w:p>
        </w:tc>
        <w:tc>
          <w:tcPr>
            <w:tcW w:w="6614" w:type="dxa"/>
          </w:tcPr>
          <w:p w14:paraId="4DA752DA" w14:textId="7CF26B6C" w:rsidR="00232C64" w:rsidRDefault="00C21E1A">
            <w:pPr>
              <w:pStyle w:val="TableParagraph"/>
              <w:spacing w:line="240" w:lineRule="auto"/>
              <w:ind w:right="462"/>
            </w:pPr>
            <w:r>
              <w:rPr>
                <w:color w:val="212121"/>
              </w:rPr>
              <w:t>Submit contact name and email at the end of the survey to be entered into the Prize draw – details at the end of the</w:t>
            </w:r>
          </w:p>
          <w:p w14:paraId="272257BA" w14:textId="77777777" w:rsidR="00232C64" w:rsidRDefault="00C21E1A">
            <w:pPr>
              <w:pStyle w:val="TableParagraph"/>
              <w:spacing w:line="249" w:lineRule="exact"/>
            </w:pPr>
            <w:r>
              <w:rPr>
                <w:color w:val="212121"/>
              </w:rPr>
              <w:t>survey.</w:t>
            </w:r>
          </w:p>
        </w:tc>
      </w:tr>
      <w:tr w:rsidR="00232C64" w14:paraId="07E482EB" w14:textId="77777777">
        <w:trPr>
          <w:trHeight w:val="1074"/>
        </w:trPr>
        <w:tc>
          <w:tcPr>
            <w:tcW w:w="2405" w:type="dxa"/>
          </w:tcPr>
          <w:p w14:paraId="00BD3B43" w14:textId="77777777" w:rsidR="00232C64" w:rsidRDefault="00C21E1A">
            <w:pPr>
              <w:pStyle w:val="TableParagraph"/>
              <w:spacing w:line="268" w:lineRule="exact"/>
              <w:ind w:left="107"/>
              <w:rPr>
                <w:b/>
              </w:rPr>
            </w:pPr>
            <w:r>
              <w:rPr>
                <w:b/>
                <w:color w:val="212121"/>
              </w:rPr>
              <w:t>Prize(s):</w:t>
            </w:r>
          </w:p>
        </w:tc>
        <w:tc>
          <w:tcPr>
            <w:tcW w:w="6614" w:type="dxa"/>
          </w:tcPr>
          <w:p w14:paraId="1FA7EAB9" w14:textId="1E38B99D" w:rsidR="00232C64" w:rsidRDefault="002B243F">
            <w:pPr>
              <w:pStyle w:val="TableParagraph"/>
              <w:spacing w:line="270" w:lineRule="atLeast"/>
              <w:ind w:right="663"/>
            </w:pPr>
            <w:r>
              <w:rPr>
                <w:color w:val="212121"/>
              </w:rPr>
              <w:t xml:space="preserve">2 vouchers for 3 month membership at </w:t>
            </w:r>
            <w:r>
              <w:t>GLL</w:t>
            </w:r>
            <w:r>
              <w:t xml:space="preserve">, 1 voucher for the light cinema </w:t>
            </w:r>
          </w:p>
        </w:tc>
      </w:tr>
    </w:tbl>
    <w:p w14:paraId="647F1E54" w14:textId="77777777" w:rsidR="00232C64" w:rsidRDefault="00C21E1A">
      <w:pPr>
        <w:pStyle w:val="ListParagraph"/>
        <w:numPr>
          <w:ilvl w:val="0"/>
          <w:numId w:val="1"/>
        </w:numPr>
        <w:tabs>
          <w:tab w:val="left" w:pos="821"/>
        </w:tabs>
        <w:spacing w:before="280"/>
        <w:ind w:hanging="361"/>
        <w:jc w:val="both"/>
        <w:rPr>
          <w:sz w:val="24"/>
        </w:rPr>
      </w:pPr>
      <w:r>
        <w:rPr>
          <w:color w:val="212121"/>
          <w:sz w:val="24"/>
        </w:rPr>
        <w:t>Only one entry per person is</w:t>
      </w:r>
      <w:r>
        <w:rPr>
          <w:color w:val="212121"/>
          <w:spacing w:val="-3"/>
          <w:sz w:val="24"/>
        </w:rPr>
        <w:t xml:space="preserve"> </w:t>
      </w:r>
      <w:r>
        <w:rPr>
          <w:color w:val="212121"/>
          <w:sz w:val="24"/>
        </w:rPr>
        <w:t>allowed.</w:t>
      </w:r>
    </w:p>
    <w:p w14:paraId="7BBB55C0" w14:textId="08DC922B" w:rsidR="00232C64" w:rsidRDefault="00C21E1A">
      <w:pPr>
        <w:pStyle w:val="ListParagraph"/>
        <w:numPr>
          <w:ilvl w:val="0"/>
          <w:numId w:val="1"/>
        </w:numPr>
        <w:tabs>
          <w:tab w:val="left" w:pos="821"/>
        </w:tabs>
        <w:ind w:hanging="361"/>
        <w:jc w:val="both"/>
        <w:rPr>
          <w:sz w:val="24"/>
        </w:rPr>
      </w:pPr>
      <w:r>
        <w:rPr>
          <w:color w:val="212121"/>
          <w:sz w:val="24"/>
        </w:rPr>
        <w:t>The Prize draw is free to enter and no purchase is</w:t>
      </w:r>
      <w:r>
        <w:rPr>
          <w:color w:val="212121"/>
          <w:spacing w:val="-14"/>
          <w:sz w:val="24"/>
        </w:rPr>
        <w:t xml:space="preserve"> </w:t>
      </w:r>
      <w:r>
        <w:rPr>
          <w:color w:val="212121"/>
          <w:sz w:val="24"/>
        </w:rPr>
        <w:t>necessary.</w:t>
      </w:r>
    </w:p>
    <w:p w14:paraId="5CD5B3C3" w14:textId="6D2B4538" w:rsidR="00232C64" w:rsidRPr="00617FDE" w:rsidRDefault="00C21E1A" w:rsidP="00617FDE">
      <w:pPr>
        <w:pStyle w:val="ListParagraph"/>
        <w:numPr>
          <w:ilvl w:val="0"/>
          <w:numId w:val="1"/>
        </w:numPr>
        <w:tabs>
          <w:tab w:val="left" w:pos="821"/>
        </w:tabs>
        <w:ind w:right="114"/>
        <w:jc w:val="both"/>
        <w:rPr>
          <w:sz w:val="24"/>
        </w:rPr>
      </w:pPr>
      <w:r w:rsidRPr="00617FDE">
        <w:rPr>
          <w:color w:val="212121"/>
          <w:sz w:val="24"/>
        </w:rPr>
        <w:t>All entries must be submitted via the following survey on Surrey County Council’s SurreySays</w:t>
      </w:r>
      <w:r w:rsidR="002B243F">
        <w:rPr>
          <w:color w:val="212121"/>
          <w:sz w:val="24"/>
        </w:rPr>
        <w:t xml:space="preserve"> </w:t>
      </w:r>
      <w:r w:rsidR="00617FDE" w:rsidRPr="00617FDE">
        <w:rPr>
          <w:color w:val="212121"/>
          <w:sz w:val="24"/>
        </w:rPr>
        <w:t>(</w:t>
      </w:r>
      <w:hyperlink r:id="rId5" w:history="1">
        <w:r w:rsidR="002B243F" w:rsidRPr="004F77BB">
          <w:rPr>
            <w:rStyle w:val="Hyperlink"/>
            <w:rFonts w:ascii="Lato" w:hAnsi="Lato"/>
            <w:sz w:val="21"/>
            <w:szCs w:val="21"/>
            <w:shd w:val="clear" w:color="auto" w:fill="EEEEEE"/>
          </w:rPr>
          <w:t>https://www.surreysays.co.uk/customer-and-communities/yourvoiceyourfuture</w:t>
        </w:r>
      </w:hyperlink>
      <w:r w:rsidR="002B243F">
        <w:rPr>
          <w:rFonts w:ascii="Lato" w:hAnsi="Lato"/>
          <w:color w:val="333333"/>
          <w:sz w:val="21"/>
          <w:szCs w:val="21"/>
          <w:shd w:val="clear" w:color="auto" w:fill="EEEEEE"/>
        </w:rPr>
        <w:t xml:space="preserve"> </w:t>
      </w:r>
      <w:r w:rsidR="00617FDE" w:rsidRPr="00617FDE">
        <w:rPr>
          <w:color w:val="212121"/>
          <w:sz w:val="24"/>
        </w:rPr>
        <w:t>)</w:t>
      </w:r>
      <w:r w:rsidR="00617FDE">
        <w:rPr>
          <w:color w:val="212121"/>
          <w:sz w:val="24"/>
        </w:rPr>
        <w:t xml:space="preserve"> or via one of the survey’s accessibility options by following the relevant instructions</w:t>
      </w:r>
      <w:r w:rsidRPr="00617FDE">
        <w:rPr>
          <w:color w:val="212121"/>
          <w:sz w:val="24"/>
        </w:rPr>
        <w:t>.</w:t>
      </w:r>
    </w:p>
    <w:p w14:paraId="0D5E3A5A" w14:textId="77777777" w:rsidR="00232C64" w:rsidRDefault="00C21E1A">
      <w:pPr>
        <w:pStyle w:val="ListParagraph"/>
        <w:numPr>
          <w:ilvl w:val="0"/>
          <w:numId w:val="1"/>
        </w:numPr>
        <w:tabs>
          <w:tab w:val="left" w:pos="821"/>
        </w:tabs>
        <w:spacing w:line="292" w:lineRule="exact"/>
        <w:ind w:hanging="361"/>
        <w:jc w:val="both"/>
        <w:rPr>
          <w:sz w:val="24"/>
        </w:rPr>
      </w:pPr>
      <w:r>
        <w:rPr>
          <w:color w:val="212121"/>
          <w:sz w:val="24"/>
        </w:rPr>
        <w:t>Only entries submitted before the Closing Date will be</w:t>
      </w:r>
      <w:r>
        <w:rPr>
          <w:color w:val="212121"/>
          <w:spacing w:val="-10"/>
          <w:sz w:val="24"/>
        </w:rPr>
        <w:t xml:space="preserve"> </w:t>
      </w:r>
      <w:r>
        <w:rPr>
          <w:color w:val="212121"/>
          <w:sz w:val="24"/>
        </w:rPr>
        <w:t>accepted.</w:t>
      </w:r>
    </w:p>
    <w:p w14:paraId="72F1417E" w14:textId="77777777" w:rsidR="00232C64" w:rsidRDefault="00C21E1A">
      <w:pPr>
        <w:pStyle w:val="ListParagraph"/>
        <w:numPr>
          <w:ilvl w:val="0"/>
          <w:numId w:val="1"/>
        </w:numPr>
        <w:tabs>
          <w:tab w:val="left" w:pos="821"/>
        </w:tabs>
        <w:ind w:right="122"/>
        <w:jc w:val="both"/>
        <w:rPr>
          <w:sz w:val="24"/>
        </w:rPr>
      </w:pPr>
      <w:r>
        <w:rPr>
          <w:color w:val="212121"/>
          <w:sz w:val="24"/>
        </w:rPr>
        <w:t>The Promoter accepts no responsibility for entries not successfully completed due to a technical fault of any</w:t>
      </w:r>
      <w:r>
        <w:rPr>
          <w:color w:val="212121"/>
          <w:spacing w:val="-1"/>
          <w:sz w:val="24"/>
        </w:rPr>
        <w:t xml:space="preserve"> </w:t>
      </w:r>
      <w:r>
        <w:rPr>
          <w:color w:val="212121"/>
          <w:sz w:val="24"/>
        </w:rPr>
        <w:t>kind.</w:t>
      </w:r>
    </w:p>
    <w:p w14:paraId="2C6A84D2" w14:textId="152282F1" w:rsidR="00232C64" w:rsidRDefault="00C21E1A">
      <w:pPr>
        <w:pStyle w:val="ListParagraph"/>
        <w:numPr>
          <w:ilvl w:val="0"/>
          <w:numId w:val="1"/>
        </w:numPr>
        <w:tabs>
          <w:tab w:val="left" w:pos="821"/>
        </w:tabs>
        <w:ind w:right="113"/>
        <w:jc w:val="both"/>
        <w:rPr>
          <w:sz w:val="24"/>
        </w:rPr>
      </w:pPr>
      <w:r>
        <w:rPr>
          <w:color w:val="212121"/>
          <w:sz w:val="24"/>
        </w:rPr>
        <w:t xml:space="preserve">Winner(s) will be chosen by random Prize draw performed by Surrey County Council on </w:t>
      </w:r>
      <w:r w:rsidR="002B243F">
        <w:t>Monday 3</w:t>
      </w:r>
      <w:r w:rsidR="002B243F" w:rsidRPr="002B243F">
        <w:rPr>
          <w:vertAlign w:val="superscript"/>
        </w:rPr>
        <w:t>rd</w:t>
      </w:r>
      <w:r w:rsidR="002B243F">
        <w:t xml:space="preserve"> </w:t>
      </w:r>
      <w:r w:rsidR="002B243F">
        <w:t> June 2024</w:t>
      </w:r>
      <w:r>
        <w:rPr>
          <w:color w:val="212121"/>
          <w:sz w:val="24"/>
        </w:rPr>
        <w:t>.</w:t>
      </w:r>
    </w:p>
    <w:p w14:paraId="0D76447C" w14:textId="70B0AF99" w:rsidR="00232C64" w:rsidRDefault="00C21E1A">
      <w:pPr>
        <w:pStyle w:val="ListParagraph"/>
        <w:numPr>
          <w:ilvl w:val="0"/>
          <w:numId w:val="1"/>
        </w:numPr>
        <w:tabs>
          <w:tab w:val="left" w:pos="821"/>
        </w:tabs>
        <w:spacing w:before="2"/>
        <w:ind w:right="115"/>
        <w:jc w:val="both"/>
        <w:rPr>
          <w:sz w:val="24"/>
        </w:rPr>
      </w:pPr>
      <w:r>
        <w:rPr>
          <w:color w:val="212121"/>
          <w:sz w:val="24"/>
        </w:rPr>
        <w:t xml:space="preserve">Winner(s) will be notified by email (using details provided at entry) by </w:t>
      </w:r>
      <w:r w:rsidR="002B243F">
        <w:t>Monday 3</w:t>
      </w:r>
      <w:r w:rsidR="002B243F" w:rsidRPr="002B243F">
        <w:rPr>
          <w:vertAlign w:val="superscript"/>
        </w:rPr>
        <w:t>rd</w:t>
      </w:r>
      <w:r w:rsidR="002B243F">
        <w:t xml:space="preserve"> </w:t>
      </w:r>
      <w:r w:rsidR="002B243F">
        <w:t> June 2024</w:t>
      </w:r>
      <w:r>
        <w:rPr>
          <w:color w:val="212121"/>
          <w:sz w:val="24"/>
        </w:rPr>
        <w:t>. If a winner does not respond to the Promoter within 14 days of being</w:t>
      </w:r>
      <w:r>
        <w:rPr>
          <w:color w:val="212121"/>
          <w:spacing w:val="-16"/>
          <w:sz w:val="24"/>
        </w:rPr>
        <w:t xml:space="preserve"> </w:t>
      </w:r>
      <w:r>
        <w:rPr>
          <w:color w:val="212121"/>
          <w:sz w:val="24"/>
        </w:rPr>
        <w:t>notified</w:t>
      </w:r>
      <w:r>
        <w:rPr>
          <w:color w:val="212121"/>
          <w:spacing w:val="-13"/>
          <w:sz w:val="24"/>
        </w:rPr>
        <w:t xml:space="preserve"> </w:t>
      </w:r>
      <w:r>
        <w:rPr>
          <w:color w:val="212121"/>
          <w:sz w:val="24"/>
        </w:rPr>
        <w:t>by</w:t>
      </w:r>
      <w:r>
        <w:rPr>
          <w:color w:val="212121"/>
          <w:spacing w:val="-14"/>
          <w:sz w:val="24"/>
        </w:rPr>
        <w:t xml:space="preserve"> </w:t>
      </w:r>
      <w:r>
        <w:rPr>
          <w:color w:val="212121"/>
          <w:sz w:val="24"/>
        </w:rPr>
        <w:t>the</w:t>
      </w:r>
      <w:r>
        <w:rPr>
          <w:color w:val="212121"/>
          <w:spacing w:val="-13"/>
          <w:sz w:val="24"/>
        </w:rPr>
        <w:t xml:space="preserve"> </w:t>
      </w:r>
      <w:r>
        <w:rPr>
          <w:color w:val="212121"/>
          <w:sz w:val="24"/>
        </w:rPr>
        <w:t>Promoter</w:t>
      </w:r>
      <w:r>
        <w:rPr>
          <w:color w:val="212121"/>
          <w:spacing w:val="-13"/>
          <w:sz w:val="24"/>
        </w:rPr>
        <w:t xml:space="preserve"> </w:t>
      </w:r>
      <w:r>
        <w:rPr>
          <w:color w:val="212121"/>
          <w:sz w:val="24"/>
        </w:rPr>
        <w:t>or</w:t>
      </w:r>
      <w:r>
        <w:rPr>
          <w:color w:val="212121"/>
          <w:spacing w:val="-13"/>
          <w:sz w:val="24"/>
        </w:rPr>
        <w:t xml:space="preserve"> </w:t>
      </w:r>
      <w:r>
        <w:rPr>
          <w:color w:val="212121"/>
          <w:sz w:val="24"/>
        </w:rPr>
        <w:t>the</w:t>
      </w:r>
      <w:r>
        <w:rPr>
          <w:color w:val="212121"/>
          <w:spacing w:val="-13"/>
          <w:sz w:val="24"/>
        </w:rPr>
        <w:t xml:space="preserve"> </w:t>
      </w:r>
      <w:r>
        <w:rPr>
          <w:color w:val="212121"/>
          <w:sz w:val="24"/>
        </w:rPr>
        <w:t>winner</w:t>
      </w:r>
      <w:r>
        <w:rPr>
          <w:color w:val="212121"/>
          <w:spacing w:val="-13"/>
          <w:sz w:val="24"/>
        </w:rPr>
        <w:t xml:space="preserve"> </w:t>
      </w:r>
      <w:r>
        <w:rPr>
          <w:color w:val="212121"/>
          <w:sz w:val="24"/>
        </w:rPr>
        <w:t>is</w:t>
      </w:r>
      <w:r>
        <w:rPr>
          <w:color w:val="212121"/>
          <w:spacing w:val="-14"/>
          <w:sz w:val="24"/>
        </w:rPr>
        <w:t xml:space="preserve"> </w:t>
      </w:r>
      <w:r>
        <w:rPr>
          <w:color w:val="212121"/>
          <w:sz w:val="24"/>
        </w:rPr>
        <w:t>unable</w:t>
      </w:r>
      <w:r>
        <w:rPr>
          <w:color w:val="212121"/>
          <w:spacing w:val="-13"/>
          <w:sz w:val="24"/>
        </w:rPr>
        <w:t xml:space="preserve"> </w:t>
      </w:r>
      <w:r>
        <w:rPr>
          <w:color w:val="212121"/>
          <w:sz w:val="24"/>
        </w:rPr>
        <w:t>to</w:t>
      </w:r>
      <w:r>
        <w:rPr>
          <w:color w:val="212121"/>
          <w:spacing w:val="-13"/>
          <w:sz w:val="24"/>
        </w:rPr>
        <w:t xml:space="preserve"> </w:t>
      </w:r>
      <w:r>
        <w:rPr>
          <w:color w:val="212121"/>
          <w:sz w:val="24"/>
        </w:rPr>
        <w:t>or</w:t>
      </w:r>
      <w:r>
        <w:rPr>
          <w:color w:val="212121"/>
          <w:spacing w:val="-13"/>
          <w:sz w:val="24"/>
        </w:rPr>
        <w:t xml:space="preserve"> </w:t>
      </w:r>
      <w:r>
        <w:rPr>
          <w:color w:val="212121"/>
          <w:sz w:val="24"/>
        </w:rPr>
        <w:t>refuses</w:t>
      </w:r>
      <w:r>
        <w:rPr>
          <w:color w:val="212121"/>
          <w:spacing w:val="-16"/>
          <w:sz w:val="24"/>
        </w:rPr>
        <w:t xml:space="preserve"> </w:t>
      </w:r>
      <w:r>
        <w:rPr>
          <w:color w:val="212121"/>
          <w:sz w:val="24"/>
        </w:rPr>
        <w:t>to</w:t>
      </w:r>
      <w:r>
        <w:rPr>
          <w:color w:val="212121"/>
          <w:spacing w:val="-13"/>
          <w:sz w:val="24"/>
        </w:rPr>
        <w:t xml:space="preserve"> </w:t>
      </w:r>
      <w:r>
        <w:rPr>
          <w:color w:val="212121"/>
          <w:sz w:val="24"/>
        </w:rPr>
        <w:t>accept</w:t>
      </w:r>
      <w:r>
        <w:rPr>
          <w:color w:val="212121"/>
          <w:spacing w:val="-13"/>
          <w:sz w:val="24"/>
        </w:rPr>
        <w:t xml:space="preserve"> </w:t>
      </w:r>
      <w:r>
        <w:rPr>
          <w:color w:val="212121"/>
          <w:sz w:val="24"/>
        </w:rPr>
        <w:t>the</w:t>
      </w:r>
      <w:r>
        <w:rPr>
          <w:color w:val="212121"/>
          <w:spacing w:val="-15"/>
          <w:sz w:val="24"/>
        </w:rPr>
        <w:t xml:space="preserve"> </w:t>
      </w:r>
      <w:r w:rsidR="0084456A">
        <w:rPr>
          <w:color w:val="212121"/>
          <w:sz w:val="24"/>
        </w:rPr>
        <w:t>Prize,</w:t>
      </w:r>
      <w:r>
        <w:rPr>
          <w:color w:val="212121"/>
          <w:sz w:val="24"/>
        </w:rPr>
        <w:t xml:space="preserve"> then the winner’s Prize will be </w:t>
      </w:r>
      <w:r w:rsidR="0084456A">
        <w:rPr>
          <w:color w:val="212121"/>
          <w:sz w:val="24"/>
        </w:rPr>
        <w:t>forfeited,</w:t>
      </w:r>
      <w:r>
        <w:rPr>
          <w:color w:val="212121"/>
          <w:sz w:val="24"/>
        </w:rPr>
        <w:t xml:space="preserve"> and the Promoter will be entitled to select another winner in accordance with the process described</w:t>
      </w:r>
      <w:r>
        <w:rPr>
          <w:color w:val="212121"/>
          <w:spacing w:val="-11"/>
          <w:sz w:val="24"/>
        </w:rPr>
        <w:t xml:space="preserve"> </w:t>
      </w:r>
      <w:r>
        <w:rPr>
          <w:color w:val="212121"/>
          <w:sz w:val="24"/>
        </w:rPr>
        <w:t>above.</w:t>
      </w:r>
    </w:p>
    <w:p w14:paraId="0D2DF482" w14:textId="173D7FD2" w:rsidR="00232C64" w:rsidRDefault="00C21E1A">
      <w:pPr>
        <w:pStyle w:val="ListParagraph"/>
        <w:numPr>
          <w:ilvl w:val="0"/>
          <w:numId w:val="1"/>
        </w:numPr>
        <w:tabs>
          <w:tab w:val="left" w:pos="821"/>
        </w:tabs>
        <w:ind w:right="117"/>
        <w:jc w:val="both"/>
        <w:rPr>
          <w:sz w:val="24"/>
        </w:rPr>
      </w:pPr>
      <w:r>
        <w:rPr>
          <w:color w:val="212121"/>
          <w:sz w:val="24"/>
        </w:rPr>
        <w:t xml:space="preserve">Where the winner has provided their </w:t>
      </w:r>
      <w:r w:rsidR="0084456A">
        <w:rPr>
          <w:color w:val="212121"/>
          <w:sz w:val="24"/>
        </w:rPr>
        <w:t>address,</w:t>
      </w:r>
      <w:r>
        <w:rPr>
          <w:color w:val="212121"/>
          <w:sz w:val="24"/>
        </w:rPr>
        <w:t xml:space="preserve"> the Prize will be sent to the winner by post within 28 days of being notified on their</w:t>
      </w:r>
      <w:r>
        <w:rPr>
          <w:color w:val="212121"/>
          <w:spacing w:val="-6"/>
          <w:sz w:val="24"/>
        </w:rPr>
        <w:t xml:space="preserve"> </w:t>
      </w:r>
      <w:r>
        <w:rPr>
          <w:color w:val="212121"/>
          <w:sz w:val="24"/>
        </w:rPr>
        <w:t>win.</w:t>
      </w:r>
    </w:p>
    <w:p w14:paraId="3709E031" w14:textId="3327DB85" w:rsidR="00232C64" w:rsidRDefault="00C21E1A">
      <w:pPr>
        <w:pStyle w:val="ListParagraph"/>
        <w:numPr>
          <w:ilvl w:val="0"/>
          <w:numId w:val="1"/>
        </w:numPr>
        <w:tabs>
          <w:tab w:val="left" w:pos="821"/>
        </w:tabs>
        <w:spacing w:line="293" w:lineRule="exact"/>
        <w:ind w:hanging="361"/>
        <w:jc w:val="both"/>
        <w:rPr>
          <w:sz w:val="24"/>
        </w:rPr>
      </w:pPr>
      <w:r>
        <w:rPr>
          <w:color w:val="212121"/>
          <w:sz w:val="24"/>
        </w:rPr>
        <w:t>Prizes are non-</w:t>
      </w:r>
      <w:r w:rsidR="0084456A">
        <w:rPr>
          <w:color w:val="212121"/>
          <w:sz w:val="24"/>
        </w:rPr>
        <w:t>exchangeable,</w:t>
      </w:r>
      <w:r>
        <w:rPr>
          <w:color w:val="212121"/>
          <w:sz w:val="24"/>
        </w:rPr>
        <w:t xml:space="preserve"> and no cash alternative is</w:t>
      </w:r>
      <w:r>
        <w:rPr>
          <w:color w:val="212121"/>
          <w:spacing w:val="-10"/>
          <w:sz w:val="24"/>
        </w:rPr>
        <w:t xml:space="preserve"> </w:t>
      </w:r>
      <w:r>
        <w:rPr>
          <w:color w:val="212121"/>
          <w:sz w:val="24"/>
        </w:rPr>
        <w:t>offered.</w:t>
      </w:r>
    </w:p>
    <w:p w14:paraId="10EA7DC9" w14:textId="3B3355BE" w:rsidR="00232C64" w:rsidRDefault="00C21E1A">
      <w:pPr>
        <w:pStyle w:val="ListParagraph"/>
        <w:numPr>
          <w:ilvl w:val="0"/>
          <w:numId w:val="1"/>
        </w:numPr>
        <w:tabs>
          <w:tab w:val="left" w:pos="821"/>
        </w:tabs>
        <w:ind w:right="118"/>
        <w:jc w:val="both"/>
        <w:rPr>
          <w:sz w:val="24"/>
        </w:rPr>
      </w:pPr>
      <w:r>
        <w:rPr>
          <w:color w:val="212121"/>
          <w:sz w:val="24"/>
        </w:rPr>
        <w:t xml:space="preserve">The Promoter reserves the right to substitute the Prize with an alternative prize of equal or higher value if circumstances beyond the Promoter’s control makes </w:t>
      </w:r>
      <w:r>
        <w:rPr>
          <w:color w:val="212121"/>
          <w:spacing w:val="-3"/>
          <w:sz w:val="24"/>
        </w:rPr>
        <w:t xml:space="preserve">it </w:t>
      </w:r>
      <w:r>
        <w:rPr>
          <w:color w:val="212121"/>
          <w:sz w:val="24"/>
        </w:rPr>
        <w:t>necessary to do</w:t>
      </w:r>
      <w:r>
        <w:rPr>
          <w:color w:val="212121"/>
          <w:spacing w:val="1"/>
          <w:sz w:val="24"/>
        </w:rPr>
        <w:t xml:space="preserve"> </w:t>
      </w:r>
      <w:r>
        <w:rPr>
          <w:color w:val="212121"/>
          <w:sz w:val="24"/>
        </w:rPr>
        <w:t>so.</w:t>
      </w:r>
    </w:p>
    <w:p w14:paraId="0EE85486" w14:textId="7EB48286" w:rsidR="00232C64" w:rsidRDefault="00C21E1A">
      <w:pPr>
        <w:pStyle w:val="ListParagraph"/>
        <w:numPr>
          <w:ilvl w:val="0"/>
          <w:numId w:val="1"/>
        </w:numPr>
        <w:tabs>
          <w:tab w:val="left" w:pos="821"/>
        </w:tabs>
        <w:ind w:right="122"/>
        <w:jc w:val="both"/>
        <w:rPr>
          <w:sz w:val="24"/>
        </w:rPr>
      </w:pPr>
      <w:r>
        <w:rPr>
          <w:color w:val="212121"/>
          <w:sz w:val="24"/>
        </w:rPr>
        <w:t>The decision of the Promoter regarding any aspect of the Prize draw is final and binding and no correspondence will be entered into about</w:t>
      </w:r>
      <w:r>
        <w:rPr>
          <w:color w:val="212121"/>
          <w:spacing w:val="-9"/>
          <w:sz w:val="24"/>
        </w:rPr>
        <w:t xml:space="preserve"> </w:t>
      </w:r>
      <w:r>
        <w:rPr>
          <w:color w:val="212121"/>
          <w:sz w:val="24"/>
        </w:rPr>
        <w:t>it.</w:t>
      </w:r>
    </w:p>
    <w:p w14:paraId="01FF5D9E" w14:textId="7485A7C7" w:rsidR="00232C64" w:rsidRDefault="00C21E1A">
      <w:pPr>
        <w:pStyle w:val="ListParagraph"/>
        <w:numPr>
          <w:ilvl w:val="0"/>
          <w:numId w:val="1"/>
        </w:numPr>
        <w:tabs>
          <w:tab w:val="left" w:pos="821"/>
        </w:tabs>
        <w:ind w:right="114"/>
        <w:jc w:val="both"/>
        <w:rPr>
          <w:sz w:val="24"/>
        </w:rPr>
      </w:pPr>
      <w:r>
        <w:rPr>
          <w:color w:val="212121"/>
          <w:sz w:val="24"/>
        </w:rPr>
        <w:t>The Promoter will make available information that indicates that a valid award took place by either sending the surname and county of major Prize winners to anyone writes</w:t>
      </w:r>
      <w:r>
        <w:rPr>
          <w:color w:val="212121"/>
          <w:spacing w:val="-7"/>
          <w:sz w:val="24"/>
        </w:rPr>
        <w:t xml:space="preserve"> </w:t>
      </w:r>
      <w:r>
        <w:rPr>
          <w:color w:val="212121"/>
          <w:sz w:val="24"/>
        </w:rPr>
        <w:t>to</w:t>
      </w:r>
      <w:r>
        <w:rPr>
          <w:color w:val="212121"/>
          <w:spacing w:val="-5"/>
          <w:sz w:val="24"/>
        </w:rPr>
        <w:t xml:space="preserve"> </w:t>
      </w:r>
      <w:r>
        <w:rPr>
          <w:color w:val="212121"/>
          <w:sz w:val="24"/>
        </w:rPr>
        <w:t>the</w:t>
      </w:r>
      <w:r>
        <w:rPr>
          <w:color w:val="212121"/>
          <w:spacing w:val="-5"/>
          <w:sz w:val="24"/>
        </w:rPr>
        <w:t xml:space="preserve"> </w:t>
      </w:r>
      <w:r>
        <w:rPr>
          <w:color w:val="212121"/>
          <w:sz w:val="24"/>
        </w:rPr>
        <w:t>Promoter</w:t>
      </w:r>
      <w:r>
        <w:rPr>
          <w:color w:val="212121"/>
          <w:spacing w:val="-2"/>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address</w:t>
      </w:r>
      <w:r>
        <w:rPr>
          <w:color w:val="212121"/>
          <w:spacing w:val="-3"/>
          <w:sz w:val="24"/>
        </w:rPr>
        <w:t xml:space="preserve"> </w:t>
      </w:r>
      <w:r>
        <w:rPr>
          <w:color w:val="212121"/>
          <w:sz w:val="24"/>
        </w:rPr>
        <w:t>above enclosing</w:t>
      </w:r>
      <w:r>
        <w:rPr>
          <w:color w:val="212121"/>
          <w:spacing w:val="-3"/>
          <w:sz w:val="24"/>
        </w:rPr>
        <w:t xml:space="preserve"> </w:t>
      </w:r>
      <w:r>
        <w:rPr>
          <w:color w:val="212121"/>
          <w:sz w:val="24"/>
        </w:rPr>
        <w:t>a</w:t>
      </w:r>
      <w:r>
        <w:rPr>
          <w:color w:val="212121"/>
          <w:spacing w:val="-5"/>
          <w:sz w:val="24"/>
        </w:rPr>
        <w:t xml:space="preserve"> </w:t>
      </w:r>
      <w:r>
        <w:rPr>
          <w:color w:val="212121"/>
          <w:sz w:val="24"/>
        </w:rPr>
        <w:t>self-addressed</w:t>
      </w:r>
      <w:r>
        <w:rPr>
          <w:color w:val="212121"/>
          <w:spacing w:val="-3"/>
          <w:sz w:val="24"/>
        </w:rPr>
        <w:t xml:space="preserve"> </w:t>
      </w:r>
      <w:r>
        <w:rPr>
          <w:color w:val="212121"/>
          <w:sz w:val="24"/>
        </w:rPr>
        <w:t>envelope</w:t>
      </w:r>
      <w:r>
        <w:rPr>
          <w:color w:val="212121"/>
          <w:spacing w:val="-3"/>
          <w:sz w:val="24"/>
        </w:rPr>
        <w:t xml:space="preserve"> </w:t>
      </w:r>
      <w:r>
        <w:rPr>
          <w:color w:val="212121"/>
          <w:sz w:val="24"/>
        </w:rPr>
        <w:t>and</w:t>
      </w:r>
    </w:p>
    <w:p w14:paraId="3CB72E12" w14:textId="77777777" w:rsidR="00232C64" w:rsidRDefault="00232C64">
      <w:pPr>
        <w:jc w:val="both"/>
        <w:rPr>
          <w:sz w:val="24"/>
        </w:rPr>
        <w:sectPr w:rsidR="00232C64">
          <w:type w:val="continuous"/>
          <w:pgSz w:w="11910" w:h="16840"/>
          <w:pgMar w:top="1420" w:right="1320" w:bottom="280" w:left="1340" w:header="720" w:footer="720" w:gutter="0"/>
          <w:cols w:space="720"/>
        </w:sectPr>
      </w:pPr>
    </w:p>
    <w:p w14:paraId="5A6F40CE" w14:textId="0A91F40F" w:rsidR="00232C64" w:rsidRDefault="00C21E1A">
      <w:pPr>
        <w:pStyle w:val="BodyText"/>
        <w:spacing w:before="41"/>
        <w:ind w:right="117" w:firstLine="0"/>
      </w:pPr>
      <w:r>
        <w:rPr>
          <w:color w:val="212121"/>
        </w:rPr>
        <w:lastRenderedPageBreak/>
        <w:t xml:space="preserve">stating the name of the Prize competition within one month after the Closing Date. If you object to your surname and county being made </w:t>
      </w:r>
      <w:r w:rsidR="0084456A">
        <w:rPr>
          <w:color w:val="212121"/>
        </w:rPr>
        <w:t>available,</w:t>
      </w:r>
      <w:r>
        <w:rPr>
          <w:color w:val="212121"/>
        </w:rPr>
        <w:t xml:space="preserve"> please contact the Promoter.</w:t>
      </w:r>
      <w:r>
        <w:rPr>
          <w:color w:val="212121"/>
          <w:spacing w:val="28"/>
        </w:rPr>
        <w:t xml:space="preserve"> </w:t>
      </w:r>
      <w:r>
        <w:rPr>
          <w:color w:val="212121"/>
        </w:rPr>
        <w:t>In</w:t>
      </w:r>
      <w:r>
        <w:rPr>
          <w:color w:val="212121"/>
          <w:spacing w:val="-11"/>
        </w:rPr>
        <w:t xml:space="preserve"> </w:t>
      </w:r>
      <w:r>
        <w:rPr>
          <w:color w:val="212121"/>
        </w:rPr>
        <w:t>such</w:t>
      </w:r>
      <w:r>
        <w:rPr>
          <w:color w:val="212121"/>
          <w:spacing w:val="-11"/>
        </w:rPr>
        <w:t xml:space="preserve"> </w:t>
      </w:r>
      <w:r>
        <w:rPr>
          <w:color w:val="212121"/>
        </w:rPr>
        <w:t>circumstances,</w:t>
      </w:r>
      <w:r>
        <w:rPr>
          <w:color w:val="212121"/>
          <w:spacing w:val="-13"/>
        </w:rPr>
        <w:t xml:space="preserve"> </w:t>
      </w:r>
      <w:r>
        <w:rPr>
          <w:color w:val="212121"/>
        </w:rPr>
        <w:t>the</w:t>
      </w:r>
      <w:r>
        <w:rPr>
          <w:color w:val="212121"/>
          <w:spacing w:val="-11"/>
        </w:rPr>
        <w:t xml:space="preserve"> </w:t>
      </w:r>
      <w:r>
        <w:rPr>
          <w:color w:val="212121"/>
        </w:rPr>
        <w:t>Promoter</w:t>
      </w:r>
      <w:r>
        <w:rPr>
          <w:color w:val="212121"/>
          <w:spacing w:val="-13"/>
        </w:rPr>
        <w:t xml:space="preserve"> </w:t>
      </w:r>
      <w:r>
        <w:rPr>
          <w:color w:val="212121"/>
        </w:rPr>
        <w:t>must</w:t>
      </w:r>
      <w:r>
        <w:rPr>
          <w:color w:val="212121"/>
          <w:spacing w:val="-11"/>
        </w:rPr>
        <w:t xml:space="preserve"> </w:t>
      </w:r>
      <w:r>
        <w:rPr>
          <w:color w:val="212121"/>
        </w:rPr>
        <w:t>still</w:t>
      </w:r>
      <w:r>
        <w:rPr>
          <w:color w:val="212121"/>
          <w:spacing w:val="-13"/>
        </w:rPr>
        <w:t xml:space="preserve"> </w:t>
      </w:r>
      <w:r>
        <w:rPr>
          <w:color w:val="212121"/>
        </w:rPr>
        <w:t>provide</w:t>
      </w:r>
      <w:r>
        <w:rPr>
          <w:color w:val="212121"/>
          <w:spacing w:val="-13"/>
        </w:rPr>
        <w:t xml:space="preserve"> </w:t>
      </w:r>
      <w:r>
        <w:rPr>
          <w:color w:val="212121"/>
        </w:rPr>
        <w:t>the</w:t>
      </w:r>
      <w:r>
        <w:rPr>
          <w:color w:val="212121"/>
          <w:spacing w:val="-14"/>
        </w:rPr>
        <w:t xml:space="preserve"> </w:t>
      </w:r>
      <w:r>
        <w:rPr>
          <w:color w:val="212121"/>
        </w:rPr>
        <w:t>information</w:t>
      </w:r>
      <w:r>
        <w:rPr>
          <w:color w:val="212121"/>
          <w:spacing w:val="-10"/>
        </w:rPr>
        <w:t xml:space="preserve"> </w:t>
      </w:r>
      <w:r>
        <w:rPr>
          <w:color w:val="212121"/>
        </w:rPr>
        <w:t>and winner details to the Advertising Standards Authority on</w:t>
      </w:r>
      <w:r>
        <w:rPr>
          <w:color w:val="212121"/>
          <w:spacing w:val="-9"/>
        </w:rPr>
        <w:t xml:space="preserve"> </w:t>
      </w:r>
      <w:r>
        <w:rPr>
          <w:color w:val="212121"/>
        </w:rPr>
        <w:t>request.</w:t>
      </w:r>
    </w:p>
    <w:p w14:paraId="79160EA0" w14:textId="4FF8C774" w:rsidR="00232C64" w:rsidRDefault="00C21E1A">
      <w:pPr>
        <w:pStyle w:val="ListParagraph"/>
        <w:numPr>
          <w:ilvl w:val="0"/>
          <w:numId w:val="1"/>
        </w:numPr>
        <w:tabs>
          <w:tab w:val="left" w:pos="821"/>
        </w:tabs>
        <w:ind w:right="123"/>
        <w:jc w:val="both"/>
        <w:rPr>
          <w:sz w:val="24"/>
        </w:rPr>
      </w:pPr>
      <w:r>
        <w:rPr>
          <w:color w:val="212121"/>
          <w:sz w:val="24"/>
        </w:rPr>
        <w:t xml:space="preserve">Entrants are deemed to have accepted and agreed to be bound by these terms and conditions upon entry. The Promoter reserves the right to refuse </w:t>
      </w:r>
      <w:r w:rsidR="0084456A">
        <w:rPr>
          <w:color w:val="212121"/>
          <w:sz w:val="24"/>
        </w:rPr>
        <w:t>entry or</w:t>
      </w:r>
      <w:r>
        <w:rPr>
          <w:color w:val="212121"/>
          <w:sz w:val="24"/>
        </w:rPr>
        <w:t xml:space="preserve"> refuse to award the Prize to anyone in breach of these terms and</w:t>
      </w:r>
      <w:r>
        <w:rPr>
          <w:color w:val="212121"/>
          <w:spacing w:val="-7"/>
          <w:sz w:val="24"/>
        </w:rPr>
        <w:t xml:space="preserve"> </w:t>
      </w:r>
      <w:r>
        <w:rPr>
          <w:color w:val="212121"/>
          <w:sz w:val="24"/>
        </w:rPr>
        <w:t>conditions.</w:t>
      </w:r>
    </w:p>
    <w:p w14:paraId="5E3C10A0" w14:textId="6D1C34C9" w:rsidR="00232C64" w:rsidRDefault="00C21E1A">
      <w:pPr>
        <w:pStyle w:val="ListParagraph"/>
        <w:numPr>
          <w:ilvl w:val="0"/>
          <w:numId w:val="1"/>
        </w:numPr>
        <w:tabs>
          <w:tab w:val="left" w:pos="821"/>
        </w:tabs>
        <w:ind w:right="116"/>
        <w:jc w:val="both"/>
        <w:rPr>
          <w:sz w:val="24"/>
        </w:rPr>
      </w:pPr>
      <w:r>
        <w:rPr>
          <w:color w:val="212121"/>
          <w:sz w:val="24"/>
        </w:rPr>
        <w:t xml:space="preserve">Insofar as is permitted by law, the Promoter, its </w:t>
      </w:r>
      <w:r w:rsidR="0084456A">
        <w:rPr>
          <w:color w:val="212121"/>
          <w:sz w:val="24"/>
        </w:rPr>
        <w:t>agents,</w:t>
      </w:r>
      <w:r>
        <w:rPr>
          <w:color w:val="212121"/>
          <w:sz w:val="24"/>
        </w:rPr>
        <w:t xml:space="preserve"> or distributors will not in any circumstances be responsible or liable to compensate the winner(s) or accept any liability for any loss, damage, personal </w:t>
      </w:r>
      <w:r w:rsidR="0084456A">
        <w:rPr>
          <w:color w:val="212121"/>
          <w:sz w:val="24"/>
        </w:rPr>
        <w:t>injury,</w:t>
      </w:r>
      <w:r>
        <w:rPr>
          <w:color w:val="212121"/>
          <w:sz w:val="24"/>
        </w:rPr>
        <w:t xml:space="preserve"> or death occurring as a result of taking up the Prize except where it is caused by the negligence of the Promoter. Your statutory rights are not</w:t>
      </w:r>
      <w:r>
        <w:rPr>
          <w:color w:val="212121"/>
          <w:spacing w:val="-3"/>
          <w:sz w:val="24"/>
        </w:rPr>
        <w:t xml:space="preserve"> </w:t>
      </w:r>
      <w:r>
        <w:rPr>
          <w:color w:val="212121"/>
          <w:sz w:val="24"/>
        </w:rPr>
        <w:t>affected.</w:t>
      </w:r>
    </w:p>
    <w:p w14:paraId="4156B7BF" w14:textId="1DF8176C" w:rsidR="00232C64" w:rsidRDefault="00C21E1A">
      <w:pPr>
        <w:pStyle w:val="ListParagraph"/>
        <w:numPr>
          <w:ilvl w:val="0"/>
          <w:numId w:val="1"/>
        </w:numPr>
        <w:tabs>
          <w:tab w:val="left" w:pos="821"/>
        </w:tabs>
        <w:spacing w:before="1"/>
        <w:ind w:right="122"/>
        <w:jc w:val="both"/>
        <w:rPr>
          <w:sz w:val="24"/>
        </w:rPr>
      </w:pPr>
      <w:r>
        <w:rPr>
          <w:color w:val="212121"/>
          <w:sz w:val="24"/>
        </w:rPr>
        <w:t xml:space="preserve">Entrants' data will be collected, </w:t>
      </w:r>
      <w:r w:rsidR="0084456A">
        <w:rPr>
          <w:color w:val="212121"/>
          <w:sz w:val="24"/>
        </w:rPr>
        <w:t>stored,</w:t>
      </w:r>
      <w:r>
        <w:rPr>
          <w:color w:val="212121"/>
          <w:sz w:val="24"/>
        </w:rPr>
        <w:t xml:space="preserve"> and processed for the purposes of administering and assessing Prize draws. The </w:t>
      </w:r>
      <w:r w:rsidR="00AD1673">
        <w:rPr>
          <w:color w:val="212121"/>
          <w:sz w:val="24"/>
        </w:rPr>
        <w:t>Promoter</w:t>
      </w:r>
      <w:r>
        <w:rPr>
          <w:color w:val="212121"/>
          <w:sz w:val="24"/>
        </w:rPr>
        <w:t xml:space="preserve"> shall take all reasonable care to ensure that it complies with its obligations under the Data Protection Act</w:t>
      </w:r>
      <w:r>
        <w:rPr>
          <w:color w:val="212121"/>
          <w:spacing w:val="-24"/>
          <w:sz w:val="24"/>
        </w:rPr>
        <w:t xml:space="preserve"> </w:t>
      </w:r>
      <w:r>
        <w:rPr>
          <w:color w:val="212121"/>
          <w:sz w:val="24"/>
        </w:rPr>
        <w:t>2018.</w:t>
      </w:r>
    </w:p>
    <w:p w14:paraId="36D3EA43" w14:textId="25597DDC" w:rsidR="00232C64" w:rsidRDefault="00C21E1A">
      <w:pPr>
        <w:pStyle w:val="ListParagraph"/>
        <w:numPr>
          <w:ilvl w:val="0"/>
          <w:numId w:val="1"/>
        </w:numPr>
        <w:tabs>
          <w:tab w:val="left" w:pos="821"/>
        </w:tabs>
        <w:ind w:right="114"/>
        <w:jc w:val="both"/>
        <w:rPr>
          <w:sz w:val="24"/>
        </w:rPr>
      </w:pPr>
      <w:r>
        <w:rPr>
          <w:color w:val="212121"/>
          <w:sz w:val="24"/>
        </w:rPr>
        <w:t>In the event of fraud, abuse, or an error affecting the proper operation of the Prize draw, including the allocation of more Prizes than are available, the Promoter reserves the right to end or suspend the prize draw; declare void the notification of winner; and re-allocate available Prizes by conducting a new Prize</w:t>
      </w:r>
      <w:r>
        <w:rPr>
          <w:color w:val="212121"/>
          <w:spacing w:val="-9"/>
          <w:sz w:val="24"/>
        </w:rPr>
        <w:t xml:space="preserve"> </w:t>
      </w:r>
      <w:r>
        <w:rPr>
          <w:color w:val="212121"/>
          <w:sz w:val="24"/>
        </w:rPr>
        <w:t>draw.</w:t>
      </w:r>
    </w:p>
    <w:p w14:paraId="7ACED7F0" w14:textId="079A1AA6" w:rsidR="00232C64" w:rsidRDefault="00C21E1A">
      <w:pPr>
        <w:pStyle w:val="ListParagraph"/>
        <w:numPr>
          <w:ilvl w:val="0"/>
          <w:numId w:val="1"/>
        </w:numPr>
        <w:tabs>
          <w:tab w:val="left" w:pos="821"/>
        </w:tabs>
        <w:ind w:right="120"/>
        <w:jc w:val="both"/>
        <w:rPr>
          <w:sz w:val="24"/>
        </w:rPr>
      </w:pPr>
      <w:r>
        <w:rPr>
          <w:color w:val="212121"/>
          <w:sz w:val="24"/>
        </w:rPr>
        <w:t>If</w:t>
      </w:r>
      <w:r>
        <w:rPr>
          <w:color w:val="212121"/>
          <w:spacing w:val="-3"/>
          <w:sz w:val="24"/>
        </w:rPr>
        <w:t xml:space="preserve"> </w:t>
      </w:r>
      <w:r>
        <w:rPr>
          <w:color w:val="212121"/>
          <w:sz w:val="24"/>
        </w:rPr>
        <w:t>any</w:t>
      </w:r>
      <w:r>
        <w:rPr>
          <w:color w:val="212121"/>
          <w:spacing w:val="-6"/>
          <w:sz w:val="24"/>
        </w:rPr>
        <w:t xml:space="preserve"> </w:t>
      </w:r>
      <w:r>
        <w:rPr>
          <w:color w:val="212121"/>
          <w:sz w:val="24"/>
        </w:rPr>
        <w:t>provision</w:t>
      </w:r>
      <w:r>
        <w:rPr>
          <w:color w:val="212121"/>
          <w:spacing w:val="-3"/>
          <w:sz w:val="24"/>
        </w:rPr>
        <w:t xml:space="preserve"> </w:t>
      </w:r>
      <w:r>
        <w:rPr>
          <w:color w:val="212121"/>
          <w:sz w:val="24"/>
        </w:rPr>
        <w:t>of</w:t>
      </w:r>
      <w:r>
        <w:rPr>
          <w:color w:val="212121"/>
          <w:spacing w:val="-3"/>
          <w:sz w:val="24"/>
        </w:rPr>
        <w:t xml:space="preserve"> </w:t>
      </w:r>
      <w:r>
        <w:rPr>
          <w:color w:val="212121"/>
          <w:sz w:val="24"/>
        </w:rPr>
        <w:t>these</w:t>
      </w:r>
      <w:r>
        <w:rPr>
          <w:color w:val="212121"/>
          <w:spacing w:val="-7"/>
          <w:sz w:val="24"/>
        </w:rPr>
        <w:t xml:space="preserve"> </w:t>
      </w:r>
      <w:r>
        <w:rPr>
          <w:color w:val="212121"/>
          <w:sz w:val="24"/>
        </w:rPr>
        <w:t>terms</w:t>
      </w:r>
      <w:r>
        <w:rPr>
          <w:color w:val="212121"/>
          <w:spacing w:val="-3"/>
          <w:sz w:val="24"/>
        </w:rPr>
        <w:t xml:space="preserve"> </w:t>
      </w:r>
      <w:r>
        <w:rPr>
          <w:color w:val="212121"/>
          <w:sz w:val="24"/>
        </w:rPr>
        <w:t>and</w:t>
      </w:r>
      <w:r>
        <w:rPr>
          <w:color w:val="212121"/>
          <w:spacing w:val="-5"/>
          <w:sz w:val="24"/>
        </w:rPr>
        <w:t xml:space="preserve"> </w:t>
      </w:r>
      <w:r>
        <w:rPr>
          <w:color w:val="212121"/>
          <w:sz w:val="24"/>
        </w:rPr>
        <w:t>conditions</w:t>
      </w:r>
      <w:r>
        <w:rPr>
          <w:color w:val="212121"/>
          <w:spacing w:val="-3"/>
          <w:sz w:val="24"/>
        </w:rPr>
        <w:t xml:space="preserve"> </w:t>
      </w:r>
      <w:r>
        <w:rPr>
          <w:color w:val="212121"/>
          <w:sz w:val="24"/>
        </w:rPr>
        <w:t>is</w:t>
      </w:r>
      <w:r>
        <w:rPr>
          <w:color w:val="212121"/>
          <w:spacing w:val="-6"/>
          <w:sz w:val="24"/>
        </w:rPr>
        <w:t xml:space="preserve"> </w:t>
      </w:r>
      <w:r>
        <w:rPr>
          <w:color w:val="212121"/>
          <w:sz w:val="24"/>
        </w:rPr>
        <w:t>held</w:t>
      </w:r>
      <w:r>
        <w:rPr>
          <w:color w:val="212121"/>
          <w:spacing w:val="-2"/>
          <w:sz w:val="24"/>
        </w:rPr>
        <w:t xml:space="preserve"> </w:t>
      </w:r>
      <w:r>
        <w:rPr>
          <w:color w:val="212121"/>
          <w:sz w:val="24"/>
        </w:rPr>
        <w:t>invalid</w:t>
      </w:r>
      <w:r>
        <w:rPr>
          <w:color w:val="212121"/>
          <w:spacing w:val="-5"/>
          <w:sz w:val="24"/>
        </w:rPr>
        <w:t xml:space="preserve"> </w:t>
      </w:r>
      <w:r>
        <w:rPr>
          <w:color w:val="212121"/>
          <w:sz w:val="24"/>
        </w:rPr>
        <w:t>by</w:t>
      </w:r>
      <w:r>
        <w:rPr>
          <w:color w:val="212121"/>
          <w:spacing w:val="-3"/>
          <w:sz w:val="24"/>
        </w:rPr>
        <w:t xml:space="preserve"> </w:t>
      </w:r>
      <w:r>
        <w:rPr>
          <w:color w:val="212121"/>
          <w:sz w:val="24"/>
        </w:rPr>
        <w:t>any</w:t>
      </w:r>
      <w:r>
        <w:rPr>
          <w:color w:val="212121"/>
          <w:spacing w:val="-7"/>
          <w:sz w:val="24"/>
        </w:rPr>
        <w:t xml:space="preserve"> </w:t>
      </w:r>
      <w:r>
        <w:rPr>
          <w:color w:val="212121"/>
          <w:sz w:val="24"/>
        </w:rPr>
        <w:t>law,</w:t>
      </w:r>
      <w:r>
        <w:rPr>
          <w:color w:val="212121"/>
          <w:spacing w:val="-5"/>
          <w:sz w:val="24"/>
        </w:rPr>
        <w:t xml:space="preserve"> </w:t>
      </w:r>
      <w:r>
        <w:rPr>
          <w:color w:val="212121"/>
          <w:sz w:val="24"/>
        </w:rPr>
        <w:t>rule,</w:t>
      </w:r>
      <w:r>
        <w:rPr>
          <w:color w:val="212121"/>
          <w:spacing w:val="-3"/>
          <w:sz w:val="24"/>
        </w:rPr>
        <w:t xml:space="preserve"> </w:t>
      </w:r>
      <w:r w:rsidR="0084456A">
        <w:rPr>
          <w:color w:val="212121"/>
          <w:sz w:val="24"/>
        </w:rPr>
        <w:t>order,</w:t>
      </w:r>
      <w:r>
        <w:rPr>
          <w:color w:val="212121"/>
          <w:spacing w:val="-2"/>
          <w:sz w:val="24"/>
        </w:rPr>
        <w:t xml:space="preserve"> </w:t>
      </w:r>
      <w:r>
        <w:rPr>
          <w:color w:val="212121"/>
          <w:sz w:val="24"/>
        </w:rPr>
        <w:t>or regulation of any government, or by the final determination of any court of a competent jurisdiction, such invalidity shall not affect the enforceability of any other provisions not held to be</w:t>
      </w:r>
      <w:r>
        <w:rPr>
          <w:color w:val="212121"/>
          <w:spacing w:val="-5"/>
          <w:sz w:val="24"/>
        </w:rPr>
        <w:t xml:space="preserve"> </w:t>
      </w:r>
      <w:r>
        <w:rPr>
          <w:color w:val="212121"/>
          <w:sz w:val="24"/>
        </w:rPr>
        <w:t>invalid.</w:t>
      </w:r>
    </w:p>
    <w:p w14:paraId="6C3F1CF4" w14:textId="71352674" w:rsidR="00232C64" w:rsidRDefault="00C21E1A">
      <w:pPr>
        <w:pStyle w:val="ListParagraph"/>
        <w:numPr>
          <w:ilvl w:val="0"/>
          <w:numId w:val="1"/>
        </w:numPr>
        <w:tabs>
          <w:tab w:val="left" w:pos="821"/>
        </w:tabs>
        <w:spacing w:before="1"/>
        <w:ind w:right="128"/>
        <w:jc w:val="both"/>
        <w:rPr>
          <w:sz w:val="24"/>
        </w:rPr>
      </w:pPr>
      <w:r>
        <w:rPr>
          <w:color w:val="212121"/>
          <w:sz w:val="24"/>
        </w:rPr>
        <w:t xml:space="preserve">The </w:t>
      </w:r>
      <w:r w:rsidR="00AD1673">
        <w:rPr>
          <w:color w:val="212121"/>
          <w:sz w:val="24"/>
        </w:rPr>
        <w:t>Promoter</w:t>
      </w:r>
      <w:r>
        <w:rPr>
          <w:color w:val="212121"/>
          <w:sz w:val="24"/>
        </w:rPr>
        <w:t xml:space="preserve"> reserves the right to suspend, cancel, </w:t>
      </w:r>
      <w:r w:rsidR="0084456A">
        <w:rPr>
          <w:color w:val="212121"/>
          <w:sz w:val="24"/>
        </w:rPr>
        <w:t>postpone,</w:t>
      </w:r>
      <w:r>
        <w:rPr>
          <w:color w:val="212121"/>
          <w:sz w:val="24"/>
        </w:rPr>
        <w:t xml:space="preserve"> or amend the Prize draw and/or review and revise these terms and</w:t>
      </w:r>
      <w:r>
        <w:rPr>
          <w:color w:val="212121"/>
          <w:spacing w:val="-5"/>
          <w:sz w:val="24"/>
        </w:rPr>
        <w:t xml:space="preserve"> </w:t>
      </w:r>
      <w:r>
        <w:rPr>
          <w:color w:val="212121"/>
          <w:sz w:val="24"/>
        </w:rPr>
        <w:t>conditions.</w:t>
      </w:r>
    </w:p>
    <w:p w14:paraId="4C46A5C4" w14:textId="77777777" w:rsidR="00232C64" w:rsidRDefault="00C21E1A">
      <w:pPr>
        <w:pStyle w:val="ListParagraph"/>
        <w:numPr>
          <w:ilvl w:val="0"/>
          <w:numId w:val="1"/>
        </w:numPr>
        <w:tabs>
          <w:tab w:val="left" w:pos="821"/>
        </w:tabs>
        <w:ind w:right="121"/>
        <w:jc w:val="both"/>
        <w:rPr>
          <w:sz w:val="24"/>
        </w:rPr>
      </w:pPr>
      <w:r>
        <w:rPr>
          <w:color w:val="212121"/>
          <w:sz w:val="24"/>
        </w:rPr>
        <w:t>The promotion is governed by English Law and is subject to the exclusive jurisdiction of the English</w:t>
      </w:r>
      <w:r>
        <w:rPr>
          <w:color w:val="212121"/>
          <w:spacing w:val="-2"/>
          <w:sz w:val="24"/>
        </w:rPr>
        <w:t xml:space="preserve"> </w:t>
      </w:r>
      <w:r>
        <w:rPr>
          <w:color w:val="212121"/>
          <w:sz w:val="24"/>
        </w:rPr>
        <w:t>courts.</w:t>
      </w:r>
    </w:p>
    <w:sectPr w:rsidR="00232C64">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2517"/>
    <w:multiLevelType w:val="hybridMultilevel"/>
    <w:tmpl w:val="58147B24"/>
    <w:lvl w:ilvl="0" w:tplc="734C9C82">
      <w:start w:val="1"/>
      <w:numFmt w:val="decimal"/>
      <w:lvlText w:val="%1."/>
      <w:lvlJc w:val="left"/>
      <w:pPr>
        <w:ind w:left="820" w:hanging="360"/>
        <w:jc w:val="left"/>
      </w:pPr>
      <w:rPr>
        <w:rFonts w:ascii="Calibri" w:eastAsia="Calibri" w:hAnsi="Calibri" w:cs="Calibri" w:hint="default"/>
        <w:color w:val="212121"/>
        <w:spacing w:val="-1"/>
        <w:w w:val="99"/>
        <w:sz w:val="20"/>
        <w:szCs w:val="20"/>
        <w:lang w:val="en-GB" w:eastAsia="en-US" w:bidi="ar-SA"/>
      </w:rPr>
    </w:lvl>
    <w:lvl w:ilvl="1" w:tplc="9EDC06C0">
      <w:numFmt w:val="bullet"/>
      <w:lvlText w:val="•"/>
      <w:lvlJc w:val="left"/>
      <w:pPr>
        <w:ind w:left="1662" w:hanging="360"/>
      </w:pPr>
      <w:rPr>
        <w:rFonts w:hint="default"/>
        <w:lang w:val="en-GB" w:eastAsia="en-US" w:bidi="ar-SA"/>
      </w:rPr>
    </w:lvl>
    <w:lvl w:ilvl="2" w:tplc="5A6EBC92">
      <w:numFmt w:val="bullet"/>
      <w:lvlText w:val="•"/>
      <w:lvlJc w:val="left"/>
      <w:pPr>
        <w:ind w:left="2505" w:hanging="360"/>
      </w:pPr>
      <w:rPr>
        <w:rFonts w:hint="default"/>
        <w:lang w:val="en-GB" w:eastAsia="en-US" w:bidi="ar-SA"/>
      </w:rPr>
    </w:lvl>
    <w:lvl w:ilvl="3" w:tplc="CD3AB0C0">
      <w:numFmt w:val="bullet"/>
      <w:lvlText w:val="•"/>
      <w:lvlJc w:val="left"/>
      <w:pPr>
        <w:ind w:left="3347" w:hanging="360"/>
      </w:pPr>
      <w:rPr>
        <w:rFonts w:hint="default"/>
        <w:lang w:val="en-GB" w:eastAsia="en-US" w:bidi="ar-SA"/>
      </w:rPr>
    </w:lvl>
    <w:lvl w:ilvl="4" w:tplc="4C7EF8C6">
      <w:numFmt w:val="bullet"/>
      <w:lvlText w:val="•"/>
      <w:lvlJc w:val="left"/>
      <w:pPr>
        <w:ind w:left="4190" w:hanging="360"/>
      </w:pPr>
      <w:rPr>
        <w:rFonts w:hint="default"/>
        <w:lang w:val="en-GB" w:eastAsia="en-US" w:bidi="ar-SA"/>
      </w:rPr>
    </w:lvl>
    <w:lvl w:ilvl="5" w:tplc="46D0F2CA">
      <w:numFmt w:val="bullet"/>
      <w:lvlText w:val="•"/>
      <w:lvlJc w:val="left"/>
      <w:pPr>
        <w:ind w:left="5033" w:hanging="360"/>
      </w:pPr>
      <w:rPr>
        <w:rFonts w:hint="default"/>
        <w:lang w:val="en-GB" w:eastAsia="en-US" w:bidi="ar-SA"/>
      </w:rPr>
    </w:lvl>
    <w:lvl w:ilvl="6" w:tplc="B1802AA6">
      <w:numFmt w:val="bullet"/>
      <w:lvlText w:val="•"/>
      <w:lvlJc w:val="left"/>
      <w:pPr>
        <w:ind w:left="5875" w:hanging="360"/>
      </w:pPr>
      <w:rPr>
        <w:rFonts w:hint="default"/>
        <w:lang w:val="en-GB" w:eastAsia="en-US" w:bidi="ar-SA"/>
      </w:rPr>
    </w:lvl>
    <w:lvl w:ilvl="7" w:tplc="71C0535C">
      <w:numFmt w:val="bullet"/>
      <w:lvlText w:val="•"/>
      <w:lvlJc w:val="left"/>
      <w:pPr>
        <w:ind w:left="6718" w:hanging="360"/>
      </w:pPr>
      <w:rPr>
        <w:rFonts w:hint="default"/>
        <w:lang w:val="en-GB" w:eastAsia="en-US" w:bidi="ar-SA"/>
      </w:rPr>
    </w:lvl>
    <w:lvl w:ilvl="8" w:tplc="6E18E638">
      <w:numFmt w:val="bullet"/>
      <w:lvlText w:val="•"/>
      <w:lvlJc w:val="left"/>
      <w:pPr>
        <w:ind w:left="7561" w:hanging="360"/>
      </w:pPr>
      <w:rPr>
        <w:rFonts w:hint="default"/>
        <w:lang w:val="en-GB" w:eastAsia="en-US" w:bidi="ar-SA"/>
      </w:rPr>
    </w:lvl>
  </w:abstractNum>
  <w:num w:numId="1" w16cid:durableId="110168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4"/>
    <w:rsid w:val="0013305E"/>
    <w:rsid w:val="00232C64"/>
    <w:rsid w:val="002B243F"/>
    <w:rsid w:val="006004A4"/>
    <w:rsid w:val="00613990"/>
    <w:rsid w:val="00617FDE"/>
    <w:rsid w:val="006F3531"/>
    <w:rsid w:val="006F3988"/>
    <w:rsid w:val="0084456A"/>
    <w:rsid w:val="00847971"/>
    <w:rsid w:val="00AD1673"/>
    <w:rsid w:val="00C21E1A"/>
    <w:rsid w:val="00EF4F59"/>
    <w:rsid w:val="00FE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C403"/>
  <w15:docId w15:val="{9B08F424-1E55-4F6A-AE39-DA5C5FCE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rsid w:val="002B243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24"/>
      <w:szCs w:val="24"/>
    </w:rPr>
  </w:style>
  <w:style w:type="paragraph" w:styleId="Title">
    <w:name w:val="Title"/>
    <w:basedOn w:val="Normal"/>
    <w:uiPriority w:val="10"/>
    <w:qFormat/>
    <w:pPr>
      <w:spacing w:before="2"/>
      <w:ind w:left="1271" w:right="1288"/>
      <w:jc w:val="center"/>
    </w:pPr>
    <w:rPr>
      <w:b/>
      <w:bCs/>
      <w:sz w:val="40"/>
      <w:szCs w:val="40"/>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line="248" w:lineRule="exact"/>
      <w:ind w:left="108"/>
    </w:pPr>
  </w:style>
  <w:style w:type="paragraph" w:styleId="Revision">
    <w:name w:val="Revision"/>
    <w:hidden/>
    <w:uiPriority w:val="99"/>
    <w:semiHidden/>
    <w:rsid w:val="00FE218D"/>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AD1673"/>
    <w:rPr>
      <w:sz w:val="16"/>
      <w:szCs w:val="16"/>
    </w:rPr>
  </w:style>
  <w:style w:type="paragraph" w:styleId="CommentText">
    <w:name w:val="annotation text"/>
    <w:basedOn w:val="Normal"/>
    <w:link w:val="CommentTextChar"/>
    <w:uiPriority w:val="99"/>
    <w:unhideWhenUsed/>
    <w:rsid w:val="00AD1673"/>
    <w:rPr>
      <w:sz w:val="20"/>
      <w:szCs w:val="20"/>
    </w:rPr>
  </w:style>
  <w:style w:type="character" w:customStyle="1" w:styleId="CommentTextChar">
    <w:name w:val="Comment Text Char"/>
    <w:basedOn w:val="DefaultParagraphFont"/>
    <w:link w:val="CommentText"/>
    <w:uiPriority w:val="99"/>
    <w:rsid w:val="00AD1673"/>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D1673"/>
    <w:rPr>
      <w:b/>
      <w:bCs/>
    </w:rPr>
  </w:style>
  <w:style w:type="character" w:customStyle="1" w:styleId="CommentSubjectChar">
    <w:name w:val="Comment Subject Char"/>
    <w:basedOn w:val="CommentTextChar"/>
    <w:link w:val="CommentSubject"/>
    <w:uiPriority w:val="99"/>
    <w:semiHidden/>
    <w:rsid w:val="00AD1673"/>
    <w:rPr>
      <w:rFonts w:ascii="Calibri" w:eastAsia="Calibri" w:hAnsi="Calibri" w:cs="Calibri"/>
      <w:b/>
      <w:bCs/>
      <w:sz w:val="20"/>
      <w:szCs w:val="20"/>
      <w:lang w:val="en-GB"/>
    </w:rPr>
  </w:style>
  <w:style w:type="character" w:styleId="Hyperlink">
    <w:name w:val="Hyperlink"/>
    <w:basedOn w:val="DefaultParagraphFont"/>
    <w:uiPriority w:val="99"/>
    <w:unhideWhenUsed/>
    <w:rsid w:val="00617FDE"/>
    <w:rPr>
      <w:color w:val="0000FF" w:themeColor="hyperlink"/>
      <w:u w:val="single"/>
    </w:rPr>
  </w:style>
  <w:style w:type="character" w:styleId="UnresolvedMention">
    <w:name w:val="Unresolved Mention"/>
    <w:basedOn w:val="DefaultParagraphFont"/>
    <w:uiPriority w:val="99"/>
    <w:semiHidden/>
    <w:unhideWhenUsed/>
    <w:rsid w:val="00617FDE"/>
    <w:rPr>
      <w:color w:val="605E5C"/>
      <w:shd w:val="clear" w:color="auto" w:fill="E1DFDD"/>
    </w:rPr>
  </w:style>
  <w:style w:type="character" w:styleId="FollowedHyperlink">
    <w:name w:val="FollowedHyperlink"/>
    <w:basedOn w:val="DefaultParagraphFont"/>
    <w:uiPriority w:val="99"/>
    <w:semiHidden/>
    <w:unhideWhenUsed/>
    <w:rsid w:val="00847971"/>
    <w:rPr>
      <w:color w:val="800080" w:themeColor="followedHyperlink"/>
      <w:u w:val="single"/>
    </w:rPr>
  </w:style>
  <w:style w:type="character" w:customStyle="1" w:styleId="Heading1Char">
    <w:name w:val="Heading 1 Char"/>
    <w:basedOn w:val="DefaultParagraphFont"/>
    <w:link w:val="Heading1"/>
    <w:uiPriority w:val="9"/>
    <w:rsid w:val="002B243F"/>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reysays.co.uk/customer-and-communities/yourvoiceyourfu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SAL Review 2023 Survey</dc:subject>
  <dc:creator>Ella Turner;Peter O'Reilly</dc:creator>
  <cp:lastModifiedBy>Abigail Linyard-Tough</cp:lastModifiedBy>
  <cp:revision>3</cp:revision>
  <cp:lastPrinted>2023-12-08T11:48:00Z</cp:lastPrinted>
  <dcterms:created xsi:type="dcterms:W3CDTF">2024-02-28T16:07:00Z</dcterms:created>
  <dcterms:modified xsi:type="dcterms:W3CDTF">2024-02-28T16:07:00Z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for Microsoft 365</vt:lpwstr>
  </property>
  <property fmtid="{D5CDD505-2E9C-101B-9397-08002B2CF9AE}" pid="4" name="LastSaved">
    <vt:filetime>2023-12-01T00:00:00Z</vt:filetime>
  </property>
</Properties>
</file>